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ind w:left="5670" w:firstLine="113"/>
        <w:contextualSpacing/>
        <w:jc w:val="right"/>
        <w:rPr>
          <w:sz w:val="22"/>
          <w:szCs w:val="22"/>
          <w:shd w:fill="auto" w:val="clear"/>
        </w:rPr>
      </w:pPr>
      <w:r>
        <w:rPr>
          <w:sz w:val="22"/>
          <w:szCs w:val="22"/>
          <w:shd w:fill="auto" w:val="clear"/>
        </w:rPr>
      </w:r>
    </w:p>
    <w:p>
      <w:pPr>
        <w:pStyle w:val="Normal"/>
        <w:spacing w:before="0" w:after="0"/>
        <w:ind w:left="5670" w:firstLine="113"/>
        <w:contextualSpacing/>
        <w:jc w:val="right"/>
        <w:rPr>
          <w:sz w:val="22"/>
          <w:szCs w:val="22"/>
          <w:shd w:fill="auto" w:val="clear"/>
        </w:rPr>
      </w:pPr>
      <w:r>
        <w:rPr>
          <w:sz w:val="22"/>
          <w:szCs w:val="22"/>
          <w:shd w:fill="auto" w:val="clear"/>
        </w:rPr>
      </w:r>
    </w:p>
    <w:p>
      <w:pPr>
        <w:pStyle w:val="Normal"/>
        <w:spacing w:before="0" w:after="0"/>
        <w:ind w:left="5670" w:firstLine="113"/>
        <w:contextualSpacing/>
        <w:jc w:val="right"/>
        <w:rPr>
          <w:sz w:val="22"/>
          <w:szCs w:val="22"/>
          <w:shd w:fill="auto" w:val="clear"/>
        </w:rPr>
      </w:pPr>
      <w:r>
        <w:rPr>
          <w:sz w:val="22"/>
          <w:szCs w:val="22"/>
          <w:shd w:fill="auto" w:val="clear"/>
        </w:rPr>
      </w:r>
    </w:p>
    <w:p>
      <w:pPr>
        <w:pStyle w:val="Normal"/>
        <w:spacing w:before="0" w:after="0"/>
        <w:ind w:left="5670" w:firstLine="113"/>
        <w:contextualSpacing/>
        <w:jc w:val="right"/>
        <w:rPr>
          <w:sz w:val="22"/>
          <w:szCs w:val="22"/>
          <w:shd w:fill="auto" w:val="clear"/>
        </w:rPr>
      </w:pPr>
      <w:r>
        <w:rPr>
          <w:sz w:val="22"/>
          <w:szCs w:val="22"/>
          <w:shd w:fill="auto" w:val="clear"/>
        </w:rPr>
      </w:r>
    </w:p>
    <w:p>
      <w:pPr>
        <w:pStyle w:val="Normal"/>
        <w:spacing w:before="0" w:after="0"/>
        <w:ind w:left="5670" w:firstLine="113"/>
        <w:contextualSpacing/>
        <w:jc w:val="right"/>
        <w:rPr>
          <w:sz w:val="22"/>
          <w:szCs w:val="22"/>
          <w:shd w:fill="auto" w:val="clear"/>
        </w:rPr>
      </w:pPr>
      <w:r>
        <w:rPr>
          <w:sz w:val="22"/>
          <w:szCs w:val="22"/>
          <w:shd w:fill="auto" w:val="clear"/>
        </w:rPr>
      </w:r>
    </w:p>
    <w:p>
      <w:pPr>
        <w:pStyle w:val="Normal"/>
        <w:spacing w:before="0" w:after="0"/>
        <w:ind w:left="5670" w:firstLine="113"/>
        <w:contextualSpacing/>
        <w:jc w:val="right"/>
        <w:rPr>
          <w:sz w:val="22"/>
          <w:szCs w:val="22"/>
          <w:shd w:fill="auto" w:val="clear"/>
        </w:rPr>
      </w:pPr>
      <w:r>
        <w:rPr>
          <w:sz w:val="22"/>
          <w:szCs w:val="22"/>
          <w:shd w:fill="auto" w:val="clear"/>
        </w:rPr>
      </w:r>
    </w:p>
    <w:p>
      <w:pPr>
        <w:pStyle w:val="Normal"/>
        <w:tabs>
          <w:tab w:val="clear" w:pos="720"/>
          <w:tab w:val="left" w:pos="0" w:leader="none"/>
        </w:tabs>
        <w:spacing w:before="0" w:after="0"/>
        <w:ind w:hanging="0"/>
        <w:contextualSpacing/>
        <w:jc w:val="center"/>
        <w:rPr>
          <w:sz w:val="22"/>
          <w:szCs w:val="22"/>
          <w:shd w:fill="auto" w:val="clear"/>
        </w:rPr>
      </w:pPr>
      <w:r>
        <w:rPr>
          <w:sz w:val="22"/>
          <w:szCs w:val="22"/>
          <w:shd w:fill="auto" w:val="clear"/>
        </w:rPr>
      </w:r>
    </w:p>
    <w:p>
      <w:pPr>
        <w:pStyle w:val="Normal"/>
        <w:spacing w:before="0" w:after="0"/>
        <w:contextualSpacing/>
        <w:jc w:val="center"/>
        <w:rPr>
          <w:sz w:val="22"/>
          <w:szCs w:val="22"/>
          <w:shd w:fill="auto" w:val="clear"/>
        </w:rPr>
      </w:pPr>
      <w:r>
        <w:rPr>
          <w:sz w:val="22"/>
          <w:szCs w:val="22"/>
          <w:shd w:fill="auto" w:val="clear"/>
        </w:rPr>
      </w:r>
    </w:p>
    <w:p>
      <w:pPr>
        <w:pStyle w:val="Normal"/>
        <w:spacing w:before="0" w:after="0"/>
        <w:contextualSpacing/>
        <w:jc w:val="center"/>
        <w:rPr>
          <w:sz w:val="22"/>
          <w:szCs w:val="22"/>
          <w:shd w:fill="auto" w:val="clear"/>
        </w:rPr>
      </w:pPr>
      <w:r>
        <w:rPr>
          <w:sz w:val="22"/>
          <w:szCs w:val="22"/>
          <w:shd w:fill="auto" w:val="clear"/>
        </w:rPr>
      </w:r>
    </w:p>
    <w:p>
      <w:pPr>
        <w:pStyle w:val="Normal"/>
        <w:spacing w:before="0" w:after="0"/>
        <w:contextualSpacing/>
        <w:rPr>
          <w:sz w:val="22"/>
          <w:szCs w:val="22"/>
          <w:shd w:fill="auto" w:val="clear"/>
        </w:rPr>
      </w:pPr>
      <w:r>
        <w:rPr>
          <w:sz w:val="22"/>
          <w:szCs w:val="22"/>
          <w:shd w:fill="auto" w:val="clear"/>
        </w:rPr>
      </w:r>
    </w:p>
    <w:p>
      <w:pPr>
        <w:pStyle w:val="Normal"/>
        <w:spacing w:before="0" w:after="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b/>
          <w:b/>
          <w:sz w:val="36"/>
          <w:szCs w:val="36"/>
          <w:shd w:fill="auto" w:val="clear"/>
        </w:rPr>
      </w:pPr>
      <w:r>
        <w:rPr>
          <w:b/>
          <w:sz w:val="36"/>
          <w:szCs w:val="36"/>
          <w:shd w:fill="auto" w:val="clear"/>
        </w:rPr>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shd w:fill="auto" w:val="clear"/>
        </w:rPr>
      </w:pPr>
      <w:r>
        <w:rPr>
          <w:b/>
          <w:sz w:val="36"/>
          <w:szCs w:val="36"/>
          <w:shd w:fill="auto" w:val="clear"/>
        </w:rPr>
        <w:t>Dossier de consultation simple</w:t>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sz w:val="36"/>
          <w:szCs w:val="36"/>
          <w:shd w:fill="auto" w:val="clear"/>
        </w:rPr>
      </w:pPr>
      <w:r>
        <w:rPr>
          <w:sz w:val="36"/>
          <w:szCs w:val="36"/>
          <w:shd w:fill="auto" w:val="clear"/>
        </w:rPr>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shd w:fill="auto" w:val="clear"/>
        </w:rPr>
      </w:pPr>
      <w:r>
        <w:rPr>
          <w:color w:val="19495C"/>
          <w:sz w:val="36"/>
          <w:szCs w:val="36"/>
          <w:shd w:fill="auto" w:val="clear"/>
        </w:rPr>
        <w:t xml:space="preserve">OFFRE DE PRESTATIONS D’ANIMATIONS  DES FÊTES DE  NOËL 2023 </w:t>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shd w:fill="auto" w:val="clear"/>
        </w:rPr>
      </w:pPr>
      <w:r>
        <w:rPr>
          <w:color w:val="19495C"/>
          <w:sz w:val="36"/>
          <w:szCs w:val="36"/>
          <w:shd w:fill="auto" w:val="clear"/>
        </w:rPr>
        <w:t xml:space="preserve">AU  </w:t>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shd w:fill="auto" w:val="clear"/>
        </w:rPr>
      </w:pPr>
      <w:r>
        <w:rPr>
          <w:color w:val="19495C"/>
          <w:sz w:val="36"/>
          <w:szCs w:val="36"/>
          <w:shd w:fill="auto" w:val="clear"/>
        </w:rPr>
        <w:t xml:space="preserve">CENTRES-VILLES DE SAINT-PAUL &amp; SAINT-GILLES- LES-BAINS </w:t>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sz w:val="36"/>
          <w:szCs w:val="36"/>
          <w:shd w:fill="auto" w:val="clear"/>
        </w:rPr>
      </w:pPr>
      <w:r>
        <w:rPr>
          <w:sz w:val="36"/>
          <w:szCs w:val="36"/>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i/>
          <w:i/>
          <w:sz w:val="22"/>
          <w:szCs w:val="22"/>
          <w:shd w:fill="auto" w:val="clear"/>
        </w:rPr>
      </w:pPr>
      <w:r>
        <w:rPr>
          <w:i/>
          <w:sz w:val="22"/>
          <w:szCs w:val="22"/>
          <w:shd w:fill="auto" w:val="clear"/>
        </w:rPr>
      </w:r>
    </w:p>
    <w:p>
      <w:pPr>
        <w:pStyle w:val="Normal"/>
        <w:spacing w:before="0" w:after="0"/>
        <w:ind w:hanging="0"/>
        <w:contextualSpacing/>
        <w:rPr>
          <w:i/>
          <w:i/>
          <w:sz w:val="22"/>
          <w:szCs w:val="22"/>
          <w:shd w:fill="auto" w:val="clear"/>
        </w:rPr>
      </w:pPr>
      <w:r>
        <w:rPr>
          <w:i/>
          <w:sz w:val="22"/>
          <w:szCs w:val="22"/>
          <w:shd w:fill="auto" w:val="clear"/>
        </w:rPr>
      </w:r>
    </w:p>
    <w:p>
      <w:pPr>
        <w:pStyle w:val="Normal"/>
        <w:spacing w:before="0" w:after="0"/>
        <w:ind w:hanging="0"/>
        <w:contextualSpacing/>
        <w:rPr>
          <w:i/>
          <w:i/>
          <w:sz w:val="22"/>
          <w:szCs w:val="22"/>
          <w:shd w:fill="auto" w:val="clear"/>
        </w:rPr>
      </w:pPr>
      <w:r>
        <w:rPr>
          <w:i/>
          <w:sz w:val="22"/>
          <w:szCs w:val="22"/>
          <w:shd w:fill="auto" w:val="clear"/>
        </w:rPr>
      </w:r>
    </w:p>
    <w:p>
      <w:pPr>
        <w:pStyle w:val="Normal"/>
        <w:spacing w:before="0" w:after="0"/>
        <w:ind w:hanging="0"/>
        <w:contextualSpacing/>
        <w:rPr>
          <w:i/>
          <w:i/>
          <w:sz w:val="22"/>
          <w:szCs w:val="22"/>
          <w:shd w:fill="auto" w:val="clear"/>
        </w:rPr>
      </w:pPr>
      <w:r>
        <w:rPr>
          <w:i/>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Normal"/>
        <w:tabs>
          <w:tab w:val="clear" w:pos="720"/>
          <w:tab w:val="left" w:pos="5115" w:leader="none"/>
        </w:tabs>
        <w:spacing w:before="0" w:after="0"/>
        <w:ind w:hanging="0"/>
        <w:contextualSpacing/>
        <w:rPr>
          <w:sz w:val="22"/>
          <w:szCs w:val="22"/>
          <w:shd w:fill="auto" w:val="clear"/>
        </w:rPr>
      </w:pPr>
      <w:r>
        <w:rPr>
          <w:sz w:val="22"/>
          <w:szCs w:val="22"/>
          <w:shd w:fill="auto" w:val="clear"/>
        </w:rPr>
      </w:r>
    </w:p>
    <w:p>
      <w:pPr>
        <w:pStyle w:val="Normal"/>
        <w:spacing w:before="0" w:after="0"/>
        <w:ind w:hanging="0"/>
        <w:contextualSpacing/>
        <w:rPr>
          <w:sz w:val="22"/>
          <w:szCs w:val="22"/>
          <w:shd w:fill="auto" w:val="clear"/>
        </w:rPr>
      </w:pPr>
      <w:r>
        <w:rPr>
          <w:sz w:val="22"/>
          <w:szCs w:val="22"/>
          <w:shd w:fill="auto" w:val="clear"/>
        </w:rPr>
      </w:r>
    </w:p>
    <w:p>
      <w:pPr>
        <w:pStyle w:val="Pieddepage"/>
        <w:pBdr>
          <w:top w:val="single" w:sz="12" w:space="1" w:color="19495C"/>
        </w:pBdr>
        <w:tabs>
          <w:tab w:val="clear" w:pos="9071"/>
          <w:tab w:val="center" w:pos="4819" w:leader="none"/>
        </w:tabs>
        <w:spacing w:before="0" w:after="0"/>
        <w:contextualSpacing/>
        <w:jc w:val="center"/>
        <w:rPr>
          <w:sz w:val="8"/>
          <w:szCs w:val="8"/>
          <w:shd w:fill="auto" w:val="clear"/>
        </w:rPr>
      </w:pPr>
      <w:r>
        <w:rPr>
          <w:sz w:val="8"/>
          <w:szCs w:val="8"/>
          <w:shd w:fill="auto" w:val="clear"/>
        </w:rPr>
      </w:r>
    </w:p>
    <w:p>
      <w:pPr>
        <w:pStyle w:val="Pieddepage"/>
        <w:pBdr>
          <w:top w:val="single" w:sz="12" w:space="1" w:color="19495C"/>
        </w:pBdr>
        <w:tabs>
          <w:tab w:val="clear" w:pos="9071"/>
          <w:tab w:val="center" w:pos="4819" w:leader="none"/>
        </w:tabs>
        <w:spacing w:before="0" w:after="0"/>
        <w:contextualSpacing/>
        <w:jc w:val="center"/>
        <w:rPr>
          <w:shd w:fill="auto" w:val="clear"/>
        </w:rPr>
      </w:pPr>
      <w:r>
        <w:rPr>
          <w:szCs w:val="24"/>
          <w:shd w:fill="auto" w:val="clear"/>
        </w:rPr>
        <w:t>Monsieur Le Maire de Saint-Paul – CS 51015 – 97864 SAINT-PAUL Cedex</w:t>
      </w:r>
    </w:p>
    <w:p>
      <w:pPr>
        <w:pStyle w:val="Pieddepage"/>
        <w:spacing w:before="0" w:after="0"/>
        <w:contextualSpacing/>
        <w:jc w:val="center"/>
        <w:rPr>
          <w:shd w:fill="auto" w:val="clear"/>
        </w:rPr>
      </w:pPr>
      <w:r>
        <w:rPr>
          <w:szCs w:val="24"/>
          <w:shd w:fill="auto" w:val="clear"/>
        </w:rPr>
        <w:t>Téléphone : 0262 45 43 45 – Fax : 0262 34 48 49</w:t>
      </w:r>
    </w:p>
    <w:p>
      <w:pPr>
        <w:pStyle w:val="Textepardfaut"/>
        <w:spacing w:before="0" w:after="0"/>
        <w:contextualSpacing/>
        <w:jc w:val="center"/>
        <w:rPr/>
      </w:pPr>
      <w:r>
        <w:rPr>
          <w:color w:val="000000" w:themeColor="text1"/>
          <w:szCs w:val="24"/>
          <w:shd w:fill="auto" w:val="clear"/>
          <w:lang w:val="fr-FR"/>
        </w:rPr>
        <w:t xml:space="preserve">Site internet : </w:t>
      </w:r>
      <w:hyperlink r:id="rId2">
        <w:r>
          <w:rPr>
            <w:rStyle w:val="LienInternet"/>
            <w:color w:val="000000" w:themeColor="text1"/>
            <w:szCs w:val="24"/>
            <w:u w:val="none"/>
            <w:shd w:fill="auto" w:val="clear"/>
            <w:lang w:val="fr-FR"/>
          </w:rPr>
          <w:t>www.mairie-saintpaul.fr</w:t>
        </w:r>
      </w:hyperlink>
      <w:r>
        <w:rPr>
          <w:color w:val="000000" w:themeColor="text1"/>
          <w:szCs w:val="24"/>
          <w:shd w:fill="auto" w:val="clear"/>
          <w:lang w:val="fr-FR"/>
        </w:rPr>
        <w:t xml:space="preserve"> – E-mail : </w:t>
      </w:r>
      <w:r>
        <w:rPr>
          <w:rStyle w:val="LienInternet"/>
          <w:color w:val="000000" w:themeColor="text1"/>
          <w:szCs w:val="24"/>
          <w:u w:val="none"/>
          <w:shd w:fill="auto" w:val="clear"/>
          <w:lang w:val="fr-FR"/>
        </w:rPr>
        <w:t>maire@mairie-saintpaul.fr</w:t>
      </w:r>
    </w:p>
    <w:p>
      <w:pPr>
        <w:pStyle w:val="Textepardfaut"/>
        <w:spacing w:before="0" w:after="0"/>
        <w:contextualSpacing/>
        <w:jc w:val="center"/>
        <w:rPr>
          <w:color w:val="000000" w:themeColor="text1"/>
          <w:szCs w:val="24"/>
          <w:u w:val="none"/>
          <w:shd w:fill="auto" w:val="clear"/>
          <w:lang w:val="fr-FR"/>
        </w:rPr>
      </w:pPr>
      <w:r>
        <w:rPr>
          <w:color w:val="000000" w:themeColor="text1"/>
          <w:szCs w:val="24"/>
          <w:u w:val="none"/>
          <w:shd w:fill="auto" w:val="clear"/>
          <w:lang w:val="fr-FR"/>
        </w:rPr>
      </w:r>
    </w:p>
    <w:p>
      <w:pPr>
        <w:pStyle w:val="Textepardfaut"/>
        <w:spacing w:before="0" w:after="0"/>
        <w:contextualSpacing/>
        <w:jc w:val="center"/>
        <w:rPr>
          <w:color w:val="000000" w:themeColor="text1"/>
          <w:szCs w:val="24"/>
          <w:u w:val="none"/>
          <w:shd w:fill="auto" w:val="clear"/>
          <w:lang w:val="fr-FR"/>
        </w:rPr>
      </w:pPr>
      <w:r>
        <w:rPr>
          <w:color w:val="000000" w:themeColor="text1"/>
          <w:szCs w:val="24"/>
          <w:u w:val="none"/>
          <w:shd w:fill="auto" w:val="clear"/>
          <w:lang w:val="fr-FR"/>
        </w:rPr>
      </w:r>
    </w:p>
    <w:p>
      <w:pPr>
        <w:pStyle w:val="Textepardfaut"/>
        <w:spacing w:before="0" w:after="0"/>
        <w:contextualSpacing/>
        <w:jc w:val="center"/>
        <w:rPr>
          <w:color w:val="000000" w:themeColor="text1"/>
          <w:szCs w:val="24"/>
          <w:u w:val="none"/>
          <w:shd w:fill="auto" w:val="clear"/>
          <w:lang w:val="fr-FR"/>
        </w:rPr>
      </w:pPr>
      <w:r>
        <w:rPr>
          <w:color w:val="000000" w:themeColor="text1"/>
          <w:szCs w:val="24"/>
          <w:u w:val="none"/>
          <w:shd w:fill="auto" w:val="clear"/>
          <w:lang w:val="fr-FR"/>
        </w:rPr>
      </w:r>
    </w:p>
    <w:p>
      <w:pPr>
        <w:pStyle w:val="Titre2"/>
        <w:numPr>
          <w:ilvl w:val="0"/>
          <w:numId w:val="2"/>
        </w:numPr>
        <w:spacing w:before="0" w:after="0"/>
        <w:contextualSpacing/>
        <w:rPr>
          <w:shd w:fill="auto" w:val="clear"/>
        </w:rPr>
      </w:pPr>
      <w:bookmarkStart w:id="0" w:name="__RefHeading___Toc6923_2492909670"/>
      <w:bookmarkEnd w:id="0"/>
      <w:r>
        <w:rPr>
          <w:sz w:val="26"/>
          <w:szCs w:val="26"/>
          <w:shd w:fill="auto" w:val="clear"/>
        </w:rPr>
        <w:t>Objet de la consultation</w:t>
      </w:r>
    </w:p>
    <w:p>
      <w:pPr>
        <w:pStyle w:val="Titre3"/>
        <w:rPr>
          <w:sz w:val="22"/>
          <w:szCs w:val="22"/>
          <w:shd w:fill="auto" w:val="clear"/>
        </w:rPr>
      </w:pPr>
      <w:r>
        <w:rPr>
          <w:sz w:val="22"/>
          <w:szCs w:val="22"/>
          <w:shd w:fill="auto" w:val="clear"/>
        </w:rPr>
      </w:r>
    </w:p>
    <w:p>
      <w:pPr>
        <w:pStyle w:val="Normal"/>
        <w:pBdr>
          <w:top w:val="single" w:sz="2" w:space="1" w:color="19495C"/>
          <w:left w:val="single" w:sz="2" w:space="4" w:color="19495C"/>
          <w:bottom w:val="single" w:sz="2" w:space="1" w:color="19495C"/>
          <w:right w:val="single" w:sz="2" w:space="4" w:color="19495C"/>
        </w:pBdr>
        <w:spacing w:before="0" w:after="0"/>
        <w:contextualSpacing/>
        <w:jc w:val="center"/>
        <w:rPr>
          <w:shd w:fill="auto" w:val="clear"/>
        </w:rPr>
      </w:pPr>
      <w:bookmarkStart w:id="1" w:name="_Toc518976579"/>
      <w:bookmarkEnd w:id="1"/>
      <w:r>
        <w:rPr>
          <w:sz w:val="36"/>
          <w:szCs w:val="36"/>
          <w:shd w:fill="auto" w:val="clear"/>
        </w:rPr>
        <w:t>MARCHÉ DE PRESTATIONS D’ANIMATIONS DES FÊTES DE NOËL 2023</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rFonts w:ascii="Liberation Serif" w:hAnsi="Liberation Serif"/>
          <w:color w:val="000000" w:themeColor="text1"/>
        </w:rPr>
      </w:pPr>
      <w:r>
        <w:rPr>
          <w:rFonts w:ascii="Liberation Serif" w:hAnsi="Liberation Serif"/>
          <w:color w:val="000000" w:themeColor="text1"/>
        </w:rPr>
      </w:r>
    </w:p>
    <w:p>
      <w:pPr>
        <w:pStyle w:val="Normal"/>
        <w:spacing w:before="0" w:after="0"/>
        <w:ind w:hanging="0"/>
        <w:contextualSpacing/>
        <w:rPr>
          <w:sz w:val="12"/>
          <w:szCs w:val="12"/>
          <w:shd w:fill="auto" w:val="clear"/>
        </w:rPr>
      </w:pPr>
      <w:r>
        <w:rPr>
          <w:sz w:val="12"/>
          <w:szCs w:val="12"/>
          <w:shd w:fill="auto" w:val="clear"/>
        </w:rPr>
      </w:r>
    </w:p>
    <w:p>
      <w:pPr>
        <w:pStyle w:val="Titre2"/>
        <w:numPr>
          <w:ilvl w:val="0"/>
          <w:numId w:val="2"/>
        </w:numPr>
        <w:spacing w:before="0" w:after="0"/>
        <w:contextualSpacing/>
        <w:rPr>
          <w:shd w:fill="auto" w:val="clear"/>
        </w:rPr>
      </w:pPr>
      <w:bookmarkStart w:id="2" w:name="__RefHeading___Toc3065_947316128"/>
      <w:bookmarkEnd w:id="2"/>
      <w:r>
        <w:rPr>
          <w:sz w:val="26"/>
          <w:szCs w:val="26"/>
          <w:shd w:fill="auto" w:val="clear"/>
        </w:rPr>
        <w:t>Pouvoir adjudicateur :</w:t>
      </w:r>
    </w:p>
    <w:p>
      <w:pPr>
        <w:pStyle w:val="Pieddepage"/>
        <w:tabs>
          <w:tab w:val="clear" w:pos="9071"/>
          <w:tab w:val="center" w:pos="4819" w:leader="none"/>
        </w:tabs>
        <w:spacing w:before="0" w:after="0"/>
        <w:ind w:hanging="0"/>
        <w:contextualSpacing/>
        <w:jc w:val="center"/>
        <w:rPr>
          <w:szCs w:val="24"/>
          <w:shd w:fill="auto" w:val="clear"/>
        </w:rPr>
      </w:pPr>
      <w:r>
        <w:rPr>
          <w:szCs w:val="24"/>
          <w:shd w:fill="auto" w:val="clear"/>
        </w:rPr>
      </w:r>
    </w:p>
    <w:p>
      <w:pPr>
        <w:pStyle w:val="Pieddepage"/>
        <w:tabs>
          <w:tab w:val="clear" w:pos="9071"/>
          <w:tab w:val="center" w:pos="4819" w:leader="none"/>
        </w:tabs>
        <w:spacing w:before="0" w:after="0"/>
        <w:ind w:hanging="0"/>
        <w:contextualSpacing/>
        <w:jc w:val="center"/>
        <w:rPr>
          <w:shd w:fill="auto" w:val="clear"/>
        </w:rPr>
      </w:pPr>
      <w:r>
        <w:rPr>
          <w:szCs w:val="24"/>
          <w:shd w:fill="auto" w:val="clear"/>
        </w:rPr>
        <w:t>M. Le Maire de Saint-Paul</w:t>
      </w:r>
    </w:p>
    <w:p>
      <w:pPr>
        <w:pStyle w:val="Pieddepage"/>
        <w:tabs>
          <w:tab w:val="clear" w:pos="9071"/>
          <w:tab w:val="center" w:pos="4819" w:leader="none"/>
        </w:tabs>
        <w:spacing w:before="0" w:after="0"/>
        <w:ind w:hanging="0"/>
        <w:contextualSpacing/>
        <w:jc w:val="center"/>
        <w:rPr>
          <w:shd w:fill="auto" w:val="clear"/>
        </w:rPr>
      </w:pPr>
      <w:r>
        <w:rPr>
          <w:szCs w:val="24"/>
          <w:shd w:fill="auto" w:val="clear"/>
        </w:rPr>
        <w:t>Hôtel de Ville – CS 51015 – 97864 SAINT-PAUL Cedex</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szCs w:val="24"/>
          <w:u w:val="single"/>
          <w:shd w:fill="auto" w:val="clear"/>
        </w:rPr>
        <w:t>Service contact :</w:t>
      </w:r>
    </w:p>
    <w:p>
      <w:pPr>
        <w:pStyle w:val="Normal"/>
        <w:spacing w:before="0" w:after="0"/>
        <w:ind w:hanging="0"/>
        <w:contextualSpacing/>
        <w:rPr>
          <w:shd w:fill="auto" w:val="clear"/>
        </w:rPr>
      </w:pPr>
      <w:r>
        <w:rPr>
          <w:szCs w:val="24"/>
          <w:shd w:fill="auto" w:val="clear"/>
        </w:rPr>
        <w:t xml:space="preserve">Pôle Ville Nouvelle et Transition Écologique </w:t>
      </w:r>
    </w:p>
    <w:p>
      <w:pPr>
        <w:pStyle w:val="Normal"/>
        <w:spacing w:before="0" w:after="0"/>
        <w:ind w:hanging="0"/>
        <w:contextualSpacing/>
        <w:rPr>
          <w:shd w:fill="auto" w:val="clear"/>
        </w:rPr>
      </w:pPr>
      <w:r>
        <w:rPr>
          <w:szCs w:val="24"/>
          <w:shd w:fill="auto" w:val="clear"/>
        </w:rPr>
        <w:t>Direction de la Valorisation Économique et Touristique</w:t>
      </w:r>
    </w:p>
    <w:p>
      <w:pPr>
        <w:pStyle w:val="Normal"/>
        <w:spacing w:before="0" w:after="0"/>
        <w:ind w:hanging="0"/>
        <w:contextualSpacing/>
        <w:rPr>
          <w:shd w:fill="auto" w:val="clear"/>
        </w:rPr>
      </w:pPr>
      <w:r>
        <w:rPr>
          <w:szCs w:val="24"/>
          <w:shd w:fill="auto" w:val="clear"/>
        </w:rPr>
        <w:t>Service Évènementiels Économiques et Marchés</w:t>
      </w:r>
    </w:p>
    <w:p>
      <w:pPr>
        <w:pStyle w:val="Normal"/>
        <w:spacing w:before="0" w:after="0"/>
        <w:ind w:hanging="0"/>
        <w:contextualSpacing/>
        <w:rPr>
          <w:shd w:fill="auto" w:val="clear"/>
        </w:rPr>
      </w:pPr>
      <w:r>
        <w:rPr>
          <w:szCs w:val="24"/>
          <w:shd w:fill="auto" w:val="clear"/>
        </w:rPr>
        <w:t>Tel : 0262 45 90 69</w:t>
      </w:r>
    </w:p>
    <w:p>
      <w:pPr>
        <w:pStyle w:val="Normal"/>
        <w:spacing w:before="0" w:after="0"/>
        <w:ind w:hanging="0"/>
        <w:contextualSpacing/>
        <w:rPr>
          <w:szCs w:val="24"/>
          <w:shd w:fill="auto" w:val="clear"/>
        </w:rPr>
      </w:pPr>
      <w:r>
        <w:rPr>
          <w:szCs w:val="24"/>
          <w:shd w:fill="auto" w:val="clear"/>
        </w:rPr>
      </w:r>
    </w:p>
    <w:p>
      <w:pPr>
        <w:pStyle w:val="Pa1"/>
        <w:spacing w:lineRule="auto" w:line="240" w:before="0" w:after="0"/>
        <w:contextualSpacing/>
        <w:jc w:val="both"/>
        <w:rPr>
          <w:rFonts w:ascii="Times New Roman" w:hAnsi="Times New Roman"/>
          <w:szCs w:val="24"/>
          <w:shd w:fill="auto" w:val="clear"/>
        </w:rPr>
      </w:pPr>
      <w:r>
        <w:rPr>
          <w:rFonts w:ascii="Times New Roman" w:hAnsi="Times New Roman"/>
          <w:szCs w:val="24"/>
          <w:shd w:fill="auto" w:val="clear"/>
        </w:rPr>
      </w:r>
    </w:p>
    <w:p>
      <w:pPr>
        <w:pStyle w:val="Pa1"/>
        <w:spacing w:lineRule="auto" w:line="240" w:before="0" w:after="0"/>
        <w:contextualSpacing/>
        <w:jc w:val="both"/>
        <w:rPr>
          <w:rFonts w:ascii="Times New Roman" w:hAnsi="Times New Roman"/>
          <w:sz w:val="12"/>
          <w:szCs w:val="12"/>
          <w:shd w:fill="auto" w:val="clear"/>
          <w:lang w:val="en-US"/>
        </w:rPr>
      </w:pPr>
      <w:r>
        <w:rPr>
          <w:rFonts w:ascii="Times New Roman" w:hAnsi="Times New Roman"/>
          <w:sz w:val="12"/>
          <w:szCs w:val="12"/>
          <w:shd w:fill="auto" w:val="clear"/>
          <w:lang w:val="en-US"/>
        </w:rPr>
      </w:r>
    </w:p>
    <w:p>
      <w:pPr>
        <w:pStyle w:val="Titre2"/>
        <w:numPr>
          <w:ilvl w:val="0"/>
          <w:numId w:val="2"/>
        </w:numPr>
        <w:spacing w:before="0" w:after="0"/>
        <w:contextualSpacing/>
        <w:rPr>
          <w:shd w:fill="auto" w:val="clear"/>
        </w:rPr>
      </w:pPr>
      <w:r>
        <w:rPr>
          <w:sz w:val="26"/>
          <w:szCs w:val="26"/>
          <w:shd w:fill="auto" w:val="clear"/>
        </w:rPr>
        <w:t>Description</w:t>
      </w:r>
    </w:p>
    <w:p>
      <w:pPr>
        <w:pStyle w:val="Western"/>
        <w:spacing w:beforeAutospacing="0" w:before="280" w:after="0"/>
        <w:jc w:val="both"/>
        <w:rPr>
          <w:shd w:fill="auto" w:val="clear"/>
        </w:rPr>
      </w:pPr>
      <w:r>
        <w:rPr>
          <w:rFonts w:cs="Times New Roman" w:ascii="Times New Roman" w:hAnsi="Times New Roman"/>
          <w:sz w:val="24"/>
          <w:szCs w:val="24"/>
          <w:shd w:fill="auto" w:val="clear"/>
          <w:lang w:val="fr-FR"/>
        </w:rPr>
        <w:t>Dans le cadre des fêtes de fin d’année, la Ville de Saint-Paul souhaite animer les centres-villes de Saint-Paul et de Saint-Gilles-les-Bains.</w:t>
      </w:r>
    </w:p>
    <w:p>
      <w:pPr>
        <w:pStyle w:val="Western"/>
        <w:spacing w:beforeAutospacing="0" w:before="280" w:after="0"/>
        <w:jc w:val="both"/>
        <w:rPr>
          <w:shd w:fill="auto" w:val="clear"/>
        </w:rPr>
      </w:pPr>
      <w:r>
        <w:rPr>
          <w:rFonts w:cs="Times New Roman" w:ascii="Times New Roman" w:hAnsi="Times New Roman"/>
          <w:sz w:val="24"/>
          <w:szCs w:val="24"/>
          <w:shd w:fill="auto" w:val="clear"/>
          <w:lang w:val="fr-FR"/>
        </w:rPr>
        <w:t>Afin d’offrir des activités innovantes et de qualités tout au long du mois de Décembre 2023, une consultation auprès de différents prestataires est organisée.</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zCs w:val="24"/>
          <w:shd w:fill="auto" w:val="clear"/>
        </w:rPr>
      </w:pPr>
      <w:r>
        <w:rPr>
          <w:szCs w:val="24"/>
          <w:shd w:fill="auto" w:val="clear"/>
        </w:rPr>
        <w:t>En 2022 la Ville de Saint-Paul à organisé les animations suivantes :</w:t>
      </w:r>
    </w:p>
    <w:p>
      <w:pPr>
        <w:pStyle w:val="Normal"/>
        <w:spacing w:before="0" w:after="0"/>
        <w:ind w:hanging="0"/>
        <w:contextualSpacing/>
        <w:rPr>
          <w:b/>
          <w:b/>
          <w:bCs/>
        </w:rPr>
      </w:pPr>
      <w:r>
        <w:rPr>
          <w:b/>
          <w:bCs/>
          <w:szCs w:val="24"/>
          <w:shd w:fill="auto" w:val="clear"/>
        </w:rPr>
        <w:t>Centre-ville de Saint-Paul</w:t>
      </w:r>
    </w:p>
    <w:p>
      <w:pPr>
        <w:pStyle w:val="Normal"/>
        <w:widowControl/>
        <w:suppressAutoHyphens w:val="true"/>
        <w:bidi w:val="0"/>
        <w:spacing w:before="0" w:after="0"/>
        <w:ind w:left="0" w:right="0" w:firstLine="340"/>
        <w:contextualSpacing/>
        <w:jc w:val="both"/>
        <w:rPr>
          <w:szCs w:val="24"/>
          <w:shd w:fill="auto" w:val="clear"/>
        </w:rPr>
      </w:pPr>
      <w:r>
        <w:rPr>
          <w:b/>
          <w:bCs/>
          <w:szCs w:val="24"/>
          <w:shd w:fill="auto" w:val="clear"/>
        </w:rPr>
        <w:t>-</w:t>
      </w:r>
      <w:r>
        <w:rPr>
          <w:b w:val="false"/>
          <w:bCs w:val="false"/>
          <w:szCs w:val="24"/>
          <w:shd w:fill="auto" w:val="clear"/>
        </w:rPr>
        <w:tab/>
      </w:r>
      <w:r>
        <w:rPr>
          <w:szCs w:val="24"/>
          <w:shd w:fill="auto" w:val="clear"/>
        </w:rPr>
        <w:t>Animateur radio ;</w:t>
      </w:r>
    </w:p>
    <w:p>
      <w:pPr>
        <w:pStyle w:val="Normal"/>
        <w:widowControl/>
        <w:suppressAutoHyphens w:val="true"/>
        <w:bidi w:val="0"/>
        <w:spacing w:before="0" w:after="0"/>
        <w:ind w:left="0" w:right="0" w:firstLine="340"/>
        <w:contextualSpacing/>
        <w:jc w:val="both"/>
        <w:rPr>
          <w:szCs w:val="24"/>
          <w:shd w:fill="auto" w:val="clear"/>
        </w:rPr>
      </w:pPr>
      <w:r>
        <w:rPr>
          <w:b/>
          <w:bCs/>
          <w:szCs w:val="24"/>
          <w:shd w:fill="auto" w:val="clear"/>
        </w:rPr>
        <w:t>-</w:t>
      </w:r>
      <w:r>
        <w:rPr>
          <w:szCs w:val="24"/>
          <w:shd w:fill="auto" w:val="clear"/>
        </w:rPr>
        <w:tab/>
        <w:t>Double calèche décorée sur le thème de Noël du 21 au 24 décembre 2022 et nocturne le 22 décembre 2023 jusqu’à 21h00 et le 24 décembre de 9h à 12h – 13h à 15h. Maison du père Noël décoré ;</w:t>
      </w:r>
    </w:p>
    <w:p>
      <w:pPr>
        <w:pStyle w:val="Normal"/>
        <w:widowControl/>
        <w:suppressAutoHyphens w:val="true"/>
        <w:bidi w:val="0"/>
        <w:spacing w:before="0" w:after="0"/>
        <w:ind w:left="0" w:right="0" w:firstLine="340"/>
        <w:contextualSpacing/>
        <w:jc w:val="both"/>
        <w:rPr>
          <w:szCs w:val="24"/>
          <w:shd w:fill="auto" w:val="clear"/>
        </w:rPr>
      </w:pPr>
      <w:r>
        <w:rPr>
          <w:b/>
          <w:bCs/>
          <w:szCs w:val="24"/>
          <w:shd w:fill="auto" w:val="clear"/>
        </w:rPr>
        <w:t>-</w:t>
      </w:r>
      <w:r>
        <w:rPr>
          <w:szCs w:val="24"/>
          <w:shd w:fill="auto" w:val="clear"/>
        </w:rPr>
        <w:tab/>
        <w:t>Parade prestige 22 personnages : Mascottes de Noël (Bonhommes de neige, renne de Noël, mascotte sapin, Mickey...)</w:t>
      </w:r>
    </w:p>
    <w:p>
      <w:pPr>
        <w:pStyle w:val="Normal"/>
        <w:widowControl/>
        <w:suppressAutoHyphens w:val="true"/>
        <w:bidi w:val="0"/>
        <w:spacing w:before="0" w:after="0"/>
        <w:ind w:left="0" w:right="0" w:firstLine="340"/>
        <w:contextualSpacing/>
        <w:jc w:val="both"/>
        <w:rPr>
          <w:szCs w:val="24"/>
          <w:shd w:fill="auto" w:val="clear"/>
        </w:rPr>
      </w:pPr>
      <w:r>
        <w:rPr>
          <w:b/>
          <w:bCs/>
          <w:szCs w:val="24"/>
          <w:shd w:fill="auto" w:val="clear"/>
        </w:rPr>
        <w:t>-</w:t>
      </w:r>
      <w:r>
        <w:rPr>
          <w:szCs w:val="24"/>
          <w:shd w:fill="auto" w:val="clear"/>
        </w:rPr>
        <w:tab/>
        <w:t>Emballage cadeaux ;</w:t>
      </w:r>
    </w:p>
    <w:p>
      <w:pPr>
        <w:pStyle w:val="Normal"/>
        <w:widowControl/>
        <w:suppressAutoHyphens w:val="true"/>
        <w:bidi w:val="0"/>
        <w:spacing w:before="0" w:after="0"/>
        <w:ind w:left="0" w:right="0" w:firstLine="340"/>
        <w:contextualSpacing/>
        <w:jc w:val="both"/>
        <w:rPr>
          <w:szCs w:val="24"/>
          <w:shd w:fill="auto" w:val="clear"/>
        </w:rPr>
      </w:pPr>
      <w:r>
        <w:rPr>
          <w:b/>
          <w:bCs/>
          <w:szCs w:val="24"/>
          <w:shd w:fill="auto" w:val="clear"/>
        </w:rPr>
        <w:t>-</w:t>
      </w:r>
      <w:r>
        <w:rPr>
          <w:szCs w:val="24"/>
          <w:shd w:fill="auto" w:val="clear"/>
        </w:rPr>
        <w:tab/>
        <w:t>Animations musicales artistes cuivre et classique ;</w:t>
      </w:r>
    </w:p>
    <w:p>
      <w:pPr>
        <w:pStyle w:val="Normal"/>
        <w:widowControl/>
        <w:suppressAutoHyphens w:val="true"/>
        <w:bidi w:val="0"/>
        <w:spacing w:before="0" w:after="0"/>
        <w:ind w:left="0" w:right="0" w:firstLine="340"/>
        <w:contextualSpacing/>
        <w:jc w:val="both"/>
        <w:rPr>
          <w:szCs w:val="24"/>
          <w:shd w:fill="auto" w:val="clear"/>
        </w:rPr>
      </w:pPr>
      <w:r>
        <w:rPr>
          <w:b/>
          <w:bCs/>
          <w:szCs w:val="24"/>
          <w:shd w:fill="auto" w:val="clear"/>
        </w:rPr>
        <w:t>-</w:t>
      </w:r>
      <w:r>
        <w:rPr>
          <w:szCs w:val="24"/>
          <w:shd w:fill="auto" w:val="clear"/>
        </w:rPr>
        <w:tab/>
        <w:t>Atelier lettre au père Noël ;</w:t>
      </w:r>
    </w:p>
    <w:p>
      <w:pPr>
        <w:pStyle w:val="Normal"/>
        <w:widowControl/>
        <w:suppressAutoHyphens w:val="true"/>
        <w:bidi w:val="0"/>
        <w:spacing w:before="0" w:after="0"/>
        <w:ind w:left="0" w:right="0" w:firstLine="340"/>
        <w:contextualSpacing/>
        <w:jc w:val="both"/>
        <w:rPr>
          <w:b/>
          <w:b/>
          <w:bCs/>
        </w:rPr>
      </w:pPr>
      <w:r>
        <w:rPr>
          <w:b/>
          <w:bCs/>
        </w:rPr>
        <w:t>-</w:t>
        <w:tab/>
      </w:r>
      <w:r>
        <w:rPr>
          <w:b w:val="false"/>
          <w:bCs w:val="false"/>
        </w:rPr>
        <w:t>Hôtesse emballage cadeaux </w:t>
      </w:r>
      <w:r>
        <w:rPr>
          <w:b/>
          <w:bCs/>
        </w:rPr>
        <w:t>;</w:t>
      </w:r>
    </w:p>
    <w:p>
      <w:pPr>
        <w:pStyle w:val="Normal"/>
        <w:widowControl/>
        <w:suppressAutoHyphens w:val="true"/>
        <w:bidi w:val="0"/>
        <w:spacing w:before="0" w:after="0"/>
        <w:ind w:left="0" w:right="0" w:firstLine="340"/>
        <w:contextualSpacing/>
        <w:jc w:val="both"/>
        <w:rPr>
          <w:b/>
          <w:b/>
          <w:bCs/>
        </w:rPr>
      </w:pPr>
      <w:r>
        <w:rPr>
          <w:b/>
          <w:bCs/>
        </w:rPr>
        <w:t>-</w:t>
        <w:tab/>
      </w:r>
      <w:r>
        <w:rPr>
          <w:b w:val="false"/>
          <w:bCs w:val="false"/>
        </w:rPr>
        <w:t>Père et</w:t>
      </w:r>
      <w:r>
        <w:rPr>
          <w:b/>
          <w:bCs/>
        </w:rPr>
        <w:t xml:space="preserve"> </w:t>
      </w:r>
      <w:r>
        <w:rPr>
          <w:b w:val="false"/>
          <w:bCs w:val="false"/>
        </w:rPr>
        <w:t>Mère Noël à cheval.</w:t>
      </w:r>
    </w:p>
    <w:p>
      <w:pPr>
        <w:pStyle w:val="Normal"/>
        <w:widowControl/>
        <w:suppressAutoHyphens w:val="true"/>
        <w:bidi w:val="0"/>
        <w:spacing w:before="0" w:after="0"/>
        <w:ind w:left="0" w:right="0" w:firstLine="340"/>
        <w:contextualSpacing/>
        <w:jc w:val="both"/>
        <w:rPr>
          <w:b w:val="false"/>
          <w:b w:val="false"/>
          <w:bCs w:val="false"/>
        </w:rPr>
      </w:pPr>
      <w:r>
        <w:rPr>
          <w:b w:val="false"/>
          <w:bCs w:val="false"/>
        </w:rPr>
      </w:r>
    </w:p>
    <w:p>
      <w:pPr>
        <w:pStyle w:val="Normal"/>
        <w:widowControl/>
        <w:suppressAutoHyphens w:val="true"/>
        <w:bidi w:val="0"/>
        <w:spacing w:before="0" w:after="0"/>
        <w:ind w:left="0" w:right="0" w:hanging="0"/>
        <w:contextualSpacing/>
        <w:jc w:val="both"/>
        <w:rPr>
          <w:b/>
          <w:b/>
          <w:bCs/>
        </w:rPr>
      </w:pPr>
      <w:r>
        <w:rPr>
          <w:b/>
          <w:bCs/>
        </w:rPr>
        <w:t>Centre-ville de Saint-Gilles-les-Bains</w:t>
      </w:r>
    </w:p>
    <w:p>
      <w:pPr>
        <w:pStyle w:val="Normal"/>
        <w:widowControl/>
        <w:suppressAutoHyphens w:val="true"/>
        <w:bidi w:val="0"/>
        <w:spacing w:before="0" w:after="0"/>
        <w:ind w:left="0" w:right="0" w:hanging="0"/>
        <w:contextualSpacing/>
        <w:jc w:val="both"/>
        <w:rPr>
          <w:b/>
          <w:b/>
          <w:bCs/>
        </w:rPr>
      </w:pPr>
      <w:r>
        <w:rPr>
          <w:b/>
          <w:bCs/>
        </w:rPr>
      </w:r>
    </w:p>
    <w:p>
      <w:pPr>
        <w:pStyle w:val="Normal"/>
        <w:widowControl/>
        <w:suppressAutoHyphens w:val="true"/>
        <w:bidi w:val="0"/>
        <w:spacing w:before="0" w:after="0"/>
        <w:ind w:left="0" w:right="0" w:firstLine="340"/>
        <w:contextualSpacing/>
        <w:jc w:val="both"/>
        <w:rPr>
          <w:b/>
          <w:b/>
          <w:bCs/>
        </w:rPr>
      </w:pPr>
      <w:r>
        <w:rPr>
          <w:b/>
          <w:bCs/>
        </w:rPr>
        <w:t>-</w:t>
        <w:tab/>
      </w:r>
      <w:r>
        <w:rPr>
          <w:b w:val="false"/>
          <w:bCs w:val="false"/>
        </w:rPr>
        <w:t>Spectacle pour enfants le 22 et 23 décembre 2022 à 16h30 place Paul Julius Bénard ;</w:t>
      </w:r>
    </w:p>
    <w:p>
      <w:pPr>
        <w:pStyle w:val="Normal"/>
        <w:widowControl/>
        <w:suppressAutoHyphens w:val="true"/>
        <w:bidi w:val="0"/>
        <w:spacing w:before="0" w:after="0"/>
        <w:ind w:left="0" w:right="0" w:firstLine="340"/>
        <w:contextualSpacing/>
        <w:jc w:val="both"/>
        <w:rPr>
          <w:b/>
          <w:b/>
          <w:bCs/>
        </w:rPr>
      </w:pPr>
      <w:r>
        <w:rPr>
          <w:b w:val="false"/>
          <w:bCs w:val="false"/>
        </w:rPr>
        <w:t>-</w:t>
        <w:tab/>
        <w:t>Déambulation dans la ville du 21 au 24 décembre 2022, fanfare échassiers jongleur, cracheur de feu etc.</w:t>
      </w:r>
    </w:p>
    <w:p>
      <w:pPr>
        <w:pStyle w:val="Normal"/>
        <w:widowControl/>
        <w:suppressAutoHyphens w:val="true"/>
        <w:bidi w:val="0"/>
        <w:spacing w:before="0" w:after="0"/>
        <w:ind w:left="0" w:right="0" w:firstLine="340"/>
        <w:contextualSpacing/>
        <w:jc w:val="both"/>
        <w:rPr>
          <w:b/>
          <w:b/>
          <w:bCs/>
        </w:rPr>
      </w:pPr>
      <w:r>
        <w:rPr>
          <w:b w:val="false"/>
          <w:bCs w:val="false"/>
        </w:rPr>
        <w:t>-</w:t>
        <w:tab/>
        <w:t>Animations musicales</w:t>
      </w:r>
    </w:p>
    <w:p>
      <w:pPr>
        <w:pStyle w:val="Normal"/>
        <w:widowControl/>
        <w:suppressAutoHyphens w:val="true"/>
        <w:bidi w:val="0"/>
        <w:spacing w:before="0" w:after="0"/>
        <w:ind w:left="0" w:right="0" w:firstLine="340"/>
        <w:contextualSpacing/>
        <w:jc w:val="both"/>
        <w:rPr>
          <w:b/>
          <w:b/>
          <w:bCs/>
        </w:rPr>
      </w:pPr>
      <w:r>
        <w:rPr>
          <w:b w:val="false"/>
          <w:bCs w:val="false"/>
        </w:rPr>
        <w:t>-</w:t>
        <w:tab/>
        <w:t>Stand du père Noël</w:t>
      </w:r>
      <w:r>
        <w:rPr>
          <w:b/>
          <w:bCs/>
        </w:rPr>
        <w:t xml:space="preserve"> </w:t>
      </w:r>
      <w:r>
        <w:rPr>
          <w:b w:val="false"/>
          <w:bCs w:val="false"/>
        </w:rPr>
        <w:t>avec photo cabine</w:t>
      </w:r>
    </w:p>
    <w:p>
      <w:pPr>
        <w:pStyle w:val="Normal"/>
        <w:widowControl/>
        <w:suppressAutoHyphens w:val="true"/>
        <w:bidi w:val="0"/>
        <w:spacing w:before="0" w:after="0"/>
        <w:ind w:left="0" w:right="0" w:firstLine="340"/>
        <w:contextualSpacing/>
        <w:jc w:val="both"/>
        <w:rPr>
          <w:b w:val="false"/>
          <w:b w:val="false"/>
          <w:bCs w:val="false"/>
        </w:rPr>
      </w:pPr>
      <w:r>
        <w:rPr>
          <w:b w:val="false"/>
          <w:bCs w:val="false"/>
        </w:rPr>
      </w:r>
    </w:p>
    <w:p>
      <w:pPr>
        <w:pStyle w:val="Normal"/>
        <w:widowControl/>
        <w:suppressAutoHyphens w:val="true"/>
        <w:bidi w:val="0"/>
        <w:spacing w:before="0" w:after="0"/>
        <w:ind w:left="0" w:right="0" w:hanging="0"/>
        <w:contextualSpacing/>
        <w:jc w:val="both"/>
        <w:rPr>
          <w:b/>
          <w:b/>
          <w:bCs/>
        </w:rPr>
      </w:pPr>
      <w:r>
        <w:rPr>
          <w:b/>
          <w:bCs/>
        </w:rPr>
      </w:r>
    </w:p>
    <w:p>
      <w:pPr>
        <w:pStyle w:val="Normal"/>
        <w:widowControl/>
        <w:suppressAutoHyphens w:val="true"/>
        <w:bidi w:val="0"/>
        <w:spacing w:before="0" w:after="0"/>
        <w:ind w:left="0" w:right="0" w:hanging="0"/>
        <w:contextualSpacing/>
        <w:jc w:val="both"/>
        <w:rPr>
          <w:b/>
          <w:b/>
          <w:bCs/>
        </w:rPr>
      </w:pPr>
      <w:r>
        <w:rPr>
          <w:b/>
          <w:bCs/>
        </w:rPr>
        <w:t xml:space="preserve"> </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szCs w:val="24"/>
          <w:shd w:fill="auto" w:val="clear"/>
        </w:rPr>
        <w:t>Le prestataire proposera une offre d’animations du</w:t>
      </w:r>
      <w:r>
        <w:rPr>
          <w:color w:val="000000"/>
          <w:szCs w:val="24"/>
          <w:shd w:fill="auto" w:val="clear"/>
        </w:rPr>
        <w:t xml:space="preserve"> 6 Décembre au 31 Décembre 2023 pour Saint-Paul.</w:t>
      </w:r>
    </w:p>
    <w:p>
      <w:pPr>
        <w:pStyle w:val="Normal"/>
        <w:spacing w:before="0" w:after="0"/>
        <w:ind w:hanging="0"/>
        <w:contextualSpacing/>
        <w:rPr>
          <w:shd w:fill="auto" w:val="clear"/>
        </w:rPr>
      </w:pPr>
      <w:r>
        <w:rPr>
          <w:color w:val="000000"/>
          <w:szCs w:val="24"/>
          <w:shd w:fill="auto" w:val="clear"/>
        </w:rPr>
        <w:t>Et du 15 au 24 décembre 2023 pour Saint-Gilles-les-Bains</w:t>
      </w:r>
    </w:p>
    <w:p>
      <w:pPr>
        <w:pStyle w:val="Normal"/>
        <w:spacing w:before="0" w:after="0"/>
        <w:ind w:hanging="0"/>
        <w:contextualSpacing/>
        <w:rPr>
          <w:sz w:val="12"/>
          <w:szCs w:val="12"/>
          <w:shd w:fill="auto" w:val="clear"/>
        </w:rPr>
      </w:pPr>
      <w:r>
        <w:rPr>
          <w:sz w:val="12"/>
          <w:szCs w:val="12"/>
          <w:shd w:fill="auto" w:val="clear"/>
        </w:rPr>
      </w:r>
    </w:p>
    <w:p>
      <w:pPr>
        <w:pStyle w:val="Normal"/>
        <w:spacing w:before="0" w:after="0"/>
        <w:ind w:hanging="0"/>
        <w:contextualSpacing/>
        <w:rPr>
          <w:sz w:val="12"/>
          <w:szCs w:val="12"/>
          <w:shd w:fill="auto" w:val="clear"/>
        </w:rPr>
      </w:pPr>
      <w:r>
        <w:rPr>
          <w:sz w:val="12"/>
          <w:szCs w:val="12"/>
          <w:shd w:fill="auto" w:val="clear"/>
        </w:rPr>
      </w:r>
    </w:p>
    <w:p>
      <w:pPr>
        <w:pStyle w:val="Normal"/>
        <w:spacing w:before="0" w:after="0"/>
        <w:ind w:hanging="0"/>
        <w:contextualSpacing/>
        <w:rPr>
          <w:shd w:fill="auto" w:val="clear"/>
        </w:rPr>
      </w:pPr>
      <w:r>
        <w:rPr>
          <w:szCs w:val="24"/>
          <w:shd w:fill="auto" w:val="clear"/>
        </w:rPr>
        <w:t>Les objectifs de l’intervention du prestataire sont :</w:t>
      </w:r>
    </w:p>
    <w:p>
      <w:pPr>
        <w:pStyle w:val="ListParagraph"/>
        <w:numPr>
          <w:ilvl w:val="0"/>
          <w:numId w:val="4"/>
        </w:numPr>
        <w:spacing w:lineRule="auto" w:line="240" w:before="0" w:after="0"/>
        <w:contextualSpacing/>
        <w:jc w:val="both"/>
        <w:rPr>
          <w:shd w:fill="auto" w:val="clear"/>
        </w:rPr>
      </w:pPr>
      <w:r>
        <w:rPr>
          <w:rFonts w:ascii="Times New Roman" w:hAnsi="Times New Roman"/>
          <w:color w:val="000000"/>
          <w:sz w:val="24"/>
          <w:szCs w:val="24"/>
          <w:shd w:fill="auto" w:val="clear"/>
        </w:rPr>
        <w:t xml:space="preserve">proposer des animations en prenant en compte </w:t>
      </w:r>
      <w:r>
        <w:rPr>
          <w:rFonts w:ascii="Times New Roman" w:hAnsi="Times New Roman"/>
          <w:b/>
          <w:bCs/>
          <w:color w:val="000000"/>
          <w:sz w:val="24"/>
          <w:szCs w:val="24"/>
          <w:shd w:fill="auto" w:val="clear"/>
        </w:rPr>
        <w:t>les fêtes de Noël</w:t>
      </w:r>
      <w:r>
        <w:rPr>
          <w:rFonts w:ascii="Times New Roman" w:hAnsi="Times New Roman"/>
          <w:color w:val="000000"/>
          <w:sz w:val="24"/>
          <w:szCs w:val="24"/>
          <w:shd w:fill="auto" w:val="clear"/>
        </w:rPr>
        <w:t>,</w:t>
      </w:r>
    </w:p>
    <w:p>
      <w:pPr>
        <w:pStyle w:val="ListParagraph"/>
        <w:numPr>
          <w:ilvl w:val="0"/>
          <w:numId w:val="4"/>
        </w:numPr>
        <w:spacing w:lineRule="auto" w:line="240" w:before="0" w:after="0"/>
        <w:contextualSpacing/>
        <w:jc w:val="both"/>
        <w:rPr>
          <w:shd w:fill="auto" w:val="clear"/>
        </w:rPr>
      </w:pPr>
      <w:r>
        <w:rPr>
          <w:rFonts w:ascii="Times New Roman" w:hAnsi="Times New Roman"/>
          <w:color w:val="000000"/>
          <w:sz w:val="24"/>
          <w:szCs w:val="24"/>
          <w:shd w:fill="auto" w:val="clear"/>
        </w:rPr>
        <w:t>apporter une plus-value aux centres-villes,</w:t>
      </w:r>
    </w:p>
    <w:p>
      <w:pPr>
        <w:pStyle w:val="ListParagraph"/>
        <w:numPr>
          <w:ilvl w:val="0"/>
          <w:numId w:val="0"/>
        </w:numPr>
        <w:spacing w:lineRule="auto" w:line="240" w:before="0" w:after="0"/>
        <w:ind w:left="0" w:hanging="0"/>
        <w:contextualSpacing/>
        <w:jc w:val="both"/>
        <w:rPr/>
      </w:pPr>
      <w:r>
        <w:rPr/>
      </w:r>
    </w:p>
    <w:p>
      <w:pPr>
        <w:pStyle w:val="Normal"/>
        <w:ind w:left="360" w:hanging="0"/>
        <w:rPr>
          <w:color w:val="000000"/>
          <w:szCs w:val="24"/>
          <w:shd w:fill="auto" w:val="clear"/>
        </w:rPr>
      </w:pPr>
      <w:r>
        <w:rPr>
          <w:color w:val="000000"/>
          <w:szCs w:val="24"/>
          <w:shd w:fill="auto" w:val="clear"/>
        </w:rPr>
      </w:r>
    </w:p>
    <w:p>
      <w:pPr>
        <w:pStyle w:val="Normal"/>
        <w:ind w:hanging="0"/>
        <w:rPr>
          <w:shd w:fill="auto" w:val="clear"/>
        </w:rPr>
      </w:pPr>
      <w:r>
        <w:rPr>
          <w:szCs w:val="24"/>
          <w:shd w:fill="auto" w:val="clear"/>
        </w:rPr>
        <w:t>Le présent marché est découpé en deux lots, correspondant à des thématiques d’intervention recherchées par la collectivité </w:t>
      </w:r>
      <w:r>
        <w:rPr>
          <w:color w:val="000000"/>
          <w:szCs w:val="24"/>
          <w:shd w:fill="auto" w:val="clear"/>
        </w:rPr>
        <w:t>:</w:t>
      </w:r>
    </w:p>
    <w:p>
      <w:pPr>
        <w:pStyle w:val="Western"/>
        <w:numPr>
          <w:ilvl w:val="0"/>
          <w:numId w:val="4"/>
        </w:numPr>
        <w:spacing w:beforeAutospacing="0" w:before="280" w:after="0"/>
        <w:jc w:val="both"/>
        <w:rPr>
          <w:shd w:fill="auto" w:val="clear"/>
        </w:rPr>
      </w:pPr>
      <w:r>
        <w:rPr>
          <w:rFonts w:cs="Times New Roman" w:ascii="Times New Roman" w:hAnsi="Times New Roman"/>
          <w:b/>
          <w:bCs/>
          <w:sz w:val="24"/>
          <w:szCs w:val="24"/>
          <w:shd w:fill="auto" w:val="clear"/>
        </w:rPr>
        <w:t>lot n°1 : Animations du centre-ville de Saint-Paul</w:t>
      </w:r>
    </w:p>
    <w:p>
      <w:pPr>
        <w:pStyle w:val="Western"/>
        <w:numPr>
          <w:ilvl w:val="0"/>
          <w:numId w:val="4"/>
        </w:numPr>
        <w:spacing w:beforeAutospacing="0" w:before="0" w:after="0"/>
        <w:jc w:val="both"/>
        <w:rPr>
          <w:shd w:fill="auto" w:val="clear"/>
        </w:rPr>
      </w:pPr>
      <w:r>
        <w:rPr>
          <w:rFonts w:cs="Times New Roman" w:ascii="Times New Roman" w:hAnsi="Times New Roman"/>
          <w:b/>
          <w:bCs/>
          <w:sz w:val="24"/>
          <w:szCs w:val="24"/>
          <w:shd w:fill="auto" w:val="clear"/>
        </w:rPr>
        <w:t>lot n°2 : Animations du centre-ville de Saint-Gilles-les-Bains</w:t>
      </w:r>
    </w:p>
    <w:p>
      <w:pPr>
        <w:pStyle w:val="Western"/>
        <w:spacing w:beforeAutospacing="0" w:before="280" w:after="0"/>
        <w:jc w:val="both"/>
        <w:rPr>
          <w:sz w:val="14"/>
          <w:szCs w:val="14"/>
          <w:shd w:fill="auto" w:val="clear"/>
        </w:rPr>
      </w:pPr>
      <w:r>
        <w:rPr>
          <w:sz w:val="14"/>
          <w:szCs w:val="14"/>
          <w:shd w:fill="auto" w:val="clear"/>
        </w:rPr>
      </w:r>
    </w:p>
    <w:p>
      <w:pPr>
        <w:pStyle w:val="Titre2"/>
        <w:numPr>
          <w:ilvl w:val="0"/>
          <w:numId w:val="2"/>
        </w:numPr>
        <w:spacing w:before="0" w:after="0"/>
        <w:contextualSpacing/>
        <w:rPr>
          <w:shd w:fill="auto" w:val="clear"/>
        </w:rPr>
      </w:pPr>
      <w:bookmarkStart w:id="3" w:name="__RefHeading___Toc3951_947316128"/>
      <w:bookmarkStart w:id="4" w:name="_Toc5189765871"/>
      <w:bookmarkStart w:id="5" w:name="_Toc4883930901"/>
      <w:bookmarkStart w:id="6" w:name="_Toc3749681721"/>
      <w:bookmarkStart w:id="7" w:name="_Toc3731568181"/>
      <w:bookmarkStart w:id="8" w:name="_Toc3731566441"/>
      <w:bookmarkStart w:id="9" w:name="_Toc2952170181"/>
      <w:bookmarkStart w:id="10" w:name="_Toc1602690721"/>
      <w:bookmarkEnd w:id="3"/>
      <w:bookmarkEnd w:id="4"/>
      <w:bookmarkEnd w:id="5"/>
      <w:bookmarkEnd w:id="6"/>
      <w:bookmarkEnd w:id="7"/>
      <w:bookmarkEnd w:id="8"/>
      <w:bookmarkEnd w:id="9"/>
      <w:bookmarkEnd w:id="10"/>
      <w:r>
        <w:rPr>
          <w:sz w:val="26"/>
          <w:szCs w:val="26"/>
          <w:shd w:fill="auto" w:val="clear"/>
        </w:rPr>
        <w:t>Conditions d’intervention :</w:t>
      </w:r>
    </w:p>
    <w:p>
      <w:pPr>
        <w:pStyle w:val="Normal"/>
        <w:ind w:hanging="0"/>
        <w:rPr>
          <w:u w:val="single"/>
          <w:shd w:fill="auto" w:val="clear"/>
        </w:rPr>
      </w:pPr>
      <w:r>
        <w:rPr>
          <w:u w:val="single"/>
          <w:shd w:fill="auto" w:val="clear"/>
        </w:rPr>
      </w:r>
    </w:p>
    <w:p>
      <w:pPr>
        <w:pStyle w:val="Normal"/>
        <w:ind w:hanging="0"/>
        <w:rPr>
          <w:shd w:fill="auto" w:val="clear"/>
        </w:rPr>
      </w:pPr>
      <w:r>
        <w:rPr>
          <w:u w:val="single"/>
          <w:shd w:fill="auto" w:val="clear"/>
        </w:rPr>
        <w:t>Bénéficiaires :</w:t>
      </w:r>
    </w:p>
    <w:p>
      <w:pPr>
        <w:pStyle w:val="Normal"/>
        <w:ind w:hanging="0"/>
        <w:rPr>
          <w:shd w:fill="auto" w:val="clear"/>
        </w:rPr>
      </w:pPr>
      <w:r>
        <w:rPr>
          <w:shd w:fill="auto" w:val="clear"/>
        </w:rPr>
      </w:r>
    </w:p>
    <w:p>
      <w:pPr>
        <w:pStyle w:val="Normal"/>
        <w:ind w:hanging="0"/>
        <w:rPr>
          <w:shd w:fill="auto" w:val="clear"/>
        </w:rPr>
      </w:pPr>
      <w:r>
        <w:rPr>
          <w:shd w:fill="auto" w:val="clear"/>
        </w:rPr>
        <w:t>La consultation porte sur une proposition d’animations dans les rues du centre-ville de Saint-Paul et du centre-ville de Saint-Gilles-les-Bains.</w:t>
      </w:r>
    </w:p>
    <w:p>
      <w:pPr>
        <w:pStyle w:val="Normal"/>
        <w:ind w:hanging="0"/>
        <w:rPr>
          <w:shd w:fill="auto" w:val="clear"/>
        </w:rPr>
      </w:pPr>
      <w:r>
        <w:rPr>
          <w:shd w:fill="auto" w:val="clear"/>
        </w:rPr>
        <w:t>La proposition du candidat sera établie sur la base des éléments définis ci-après :</w:t>
      </w:r>
    </w:p>
    <w:p>
      <w:pPr>
        <w:pStyle w:val="Normal"/>
        <w:ind w:hanging="0"/>
        <w:rPr>
          <w:shd w:fill="auto" w:val="clear"/>
        </w:rPr>
      </w:pPr>
      <w:r>
        <w:rPr>
          <w:shd w:fill="auto" w:val="clear"/>
        </w:rPr>
        <w:t>Les animations devront s’organiser autour de trois types d’animations : sonorisées, itinérantes et fixes.</w:t>
      </w:r>
    </w:p>
    <w:p>
      <w:pPr>
        <w:pStyle w:val="Normal"/>
        <w:ind w:hanging="0"/>
        <w:rPr>
          <w:shd w:fill="auto" w:val="clear"/>
        </w:rPr>
      </w:pPr>
      <w:r>
        <w:rPr>
          <w:shd w:fill="auto" w:val="clear"/>
        </w:rPr>
        <w:t>Ces animations devront montrer un caractère innovant à même de toucher un public, le plus larges possible et couvrir l’ensemble des centres-villes.</w:t>
      </w:r>
    </w:p>
    <w:p>
      <w:pPr>
        <w:pStyle w:val="Normal"/>
        <w:rPr>
          <w:shd w:fill="auto" w:val="clear"/>
        </w:rPr>
      </w:pPr>
      <w:r>
        <w:rPr>
          <w:shd w:fill="auto" w:val="clear"/>
        </w:rPr>
      </w:r>
    </w:p>
    <w:p>
      <w:pPr>
        <w:pStyle w:val="Normal"/>
        <w:ind w:hanging="0"/>
        <w:rPr>
          <w:shd w:fill="auto" w:val="clear"/>
        </w:rPr>
      </w:pPr>
      <w:r>
        <w:rPr>
          <w:u w:val="single"/>
          <w:shd w:fill="auto" w:val="clear"/>
        </w:rPr>
        <w:t>Lieux d’intervention :</w:t>
      </w:r>
      <w:r>
        <w:rPr>
          <w:u w:val="none"/>
          <w:shd w:fill="auto" w:val="clear"/>
        </w:rPr>
        <w:t xml:space="preserve"> </w:t>
      </w:r>
    </w:p>
    <w:p>
      <w:pPr>
        <w:pStyle w:val="Normal"/>
        <w:ind w:hanging="0"/>
        <w:rPr>
          <w:u w:val="single"/>
          <w:shd w:fill="auto" w:val="clear"/>
        </w:rPr>
      </w:pPr>
      <w:r>
        <w:rPr>
          <w:u w:val="single"/>
          <w:shd w:fill="auto" w:val="clear"/>
        </w:rPr>
      </w:r>
    </w:p>
    <w:p>
      <w:pPr>
        <w:pStyle w:val="Normal"/>
        <w:ind w:hanging="0"/>
        <w:rPr>
          <w:shd w:fill="auto" w:val="clear"/>
        </w:rPr>
      </w:pPr>
      <w:r>
        <w:rPr>
          <w:b/>
          <w:bCs/>
          <w:shd w:fill="auto" w:val="clear"/>
        </w:rPr>
        <w:t>Centre-ville de Saint-Paul</w:t>
      </w:r>
      <w:r>
        <w:rPr>
          <w:shd w:fill="auto" w:val="clear"/>
        </w:rPr>
        <w:t xml:space="preserve"> </w:t>
      </w:r>
    </w:p>
    <w:p>
      <w:pPr>
        <w:pStyle w:val="Normal"/>
        <w:spacing w:before="0" w:after="0"/>
        <w:ind w:hanging="0"/>
        <w:contextualSpacing/>
        <w:rPr>
          <w:szCs w:val="24"/>
          <w:shd w:fill="auto" w:val="clear"/>
        </w:rPr>
      </w:pPr>
      <w:r>
        <w:rPr>
          <w:szCs w:val="24"/>
          <w:shd w:fill="auto" w:val="clear"/>
        </w:rPr>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rue Marius et Ary Leblond, entre la rue du Général de Gaulle et le jardin de la Mairie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rue Suffren entre la rue Évariste de Parny et la Chaussée Royale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rue Leconte Delisle entre la rue Suffren et la rue Eugène Dayot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 xml:space="preserve">rue du Commerce entre la rue Rhin et Danube et la Suffren ;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rue Millet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Débarcadère.</w:t>
      </w:r>
    </w:p>
    <w:p>
      <w:pPr>
        <w:pStyle w:val="ListParagraph"/>
        <w:spacing w:lineRule="auto" w:line="240" w:before="0" w:after="0"/>
        <w:ind w:left="709" w:hanging="360"/>
        <w:contextualSpacing/>
        <w:rPr>
          <w:rFonts w:ascii="Times New Roman" w:hAnsi="Times New Roman"/>
          <w:sz w:val="24"/>
          <w:szCs w:val="24"/>
          <w:shd w:fill="auto" w:val="clear"/>
        </w:rPr>
      </w:pPr>
      <w:r>
        <w:rPr>
          <w:rFonts w:ascii="Times New Roman" w:hAnsi="Times New Roman"/>
          <w:sz w:val="24"/>
          <w:szCs w:val="24"/>
          <w:shd w:fill="auto" w:val="clear"/>
        </w:rPr>
      </w:r>
    </w:p>
    <w:p>
      <w:pPr>
        <w:pStyle w:val="Normal"/>
        <w:ind w:hanging="0"/>
        <w:rPr>
          <w:shd w:fill="auto" w:val="clear"/>
        </w:rPr>
      </w:pPr>
      <w:r>
        <w:rPr>
          <w:b/>
          <w:bCs/>
          <w:shd w:fill="auto" w:val="clear"/>
        </w:rPr>
        <w:t>Centre-ville de Saint-Gilles-les-Bains</w:t>
      </w:r>
    </w:p>
    <w:p>
      <w:pPr>
        <w:pStyle w:val="ListParagraph"/>
        <w:spacing w:lineRule="auto" w:line="240" w:before="0" w:after="0"/>
        <w:ind w:left="709" w:hanging="360"/>
        <w:contextualSpacing/>
        <w:rPr>
          <w:rFonts w:ascii="Times New Roman" w:hAnsi="Times New Roman"/>
          <w:sz w:val="24"/>
          <w:szCs w:val="24"/>
          <w:shd w:fill="auto" w:val="clear"/>
        </w:rPr>
      </w:pPr>
      <w:r>
        <w:rPr>
          <w:rFonts w:ascii="Times New Roman" w:hAnsi="Times New Roman"/>
          <w:sz w:val="24"/>
          <w:szCs w:val="24"/>
          <w:shd w:fill="auto" w:val="clear"/>
        </w:rPr>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Rue du général de Gaulle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Esplanade des Roches Noires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Place Paul Julius Bénard ;</w:t>
      </w:r>
    </w:p>
    <w:p>
      <w:pPr>
        <w:pStyle w:val="ListParagraph"/>
        <w:numPr>
          <w:ilvl w:val="0"/>
          <w:numId w:val="5"/>
        </w:numPr>
        <w:spacing w:lineRule="auto" w:line="240" w:before="0" w:after="0"/>
        <w:ind w:left="709" w:hanging="360"/>
        <w:contextualSpacing/>
        <w:rPr>
          <w:shd w:fill="auto" w:val="clear"/>
        </w:rPr>
      </w:pPr>
      <w:r>
        <w:rPr>
          <w:rFonts w:ascii="Times New Roman" w:hAnsi="Times New Roman"/>
          <w:sz w:val="24"/>
          <w:szCs w:val="24"/>
          <w:shd w:fill="auto" w:val="clear"/>
        </w:rPr>
        <w:t>Éventuellement à proximité du Forum</w:t>
      </w:r>
    </w:p>
    <w:p>
      <w:pPr>
        <w:pStyle w:val="ListParagraph"/>
        <w:spacing w:lineRule="auto" w:line="240" w:before="0" w:after="0"/>
        <w:ind w:left="720" w:hanging="0"/>
        <w:contextualSpacing/>
        <w:rPr>
          <w:b/>
          <w:b/>
          <w:bCs/>
          <w:shd w:fill="auto" w:val="clear"/>
        </w:rPr>
      </w:pPr>
      <w:r>
        <w:rPr>
          <w:b/>
          <w:bCs/>
          <w:shd w:fill="auto" w:val="clear"/>
        </w:rPr>
      </w:r>
    </w:p>
    <w:p>
      <w:pPr>
        <w:pStyle w:val="Normal"/>
        <w:ind w:hanging="0"/>
        <w:rPr>
          <w:color w:val="000000"/>
          <w:szCs w:val="24"/>
          <w:shd w:fill="auto" w:val="clear"/>
        </w:rPr>
      </w:pPr>
      <w:r>
        <w:rPr>
          <w:color w:val="000000"/>
          <w:szCs w:val="24"/>
          <w:shd w:fill="auto" w:val="clear"/>
        </w:rPr>
      </w:r>
    </w:p>
    <w:p>
      <w:pPr>
        <w:pStyle w:val="Normal"/>
        <w:ind w:hanging="0"/>
        <w:rPr>
          <w:shd w:fill="auto" w:val="clear"/>
        </w:rPr>
      </w:pPr>
      <w:r>
        <w:rPr>
          <w:u w:val="single"/>
          <w:shd w:fill="auto" w:val="clear"/>
        </w:rPr>
        <w:t>Périodes et horaires d’intervention</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szCs w:val="24"/>
          <w:shd w:fill="auto" w:val="clear"/>
        </w:rPr>
        <w:t>L’intervention devra impérativement être conduite selon le calendrier suivant  :</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b/>
          <w:bCs/>
          <w:shd w:fill="auto" w:val="clear"/>
        </w:rPr>
        <w:t xml:space="preserve">Centre-ville de Saint-Paul </w:t>
      </w:r>
      <w:r>
        <w:rPr>
          <w:b/>
          <w:bCs/>
          <w:color w:val="000000"/>
          <w:sz w:val="24"/>
          <w:szCs w:val="24"/>
          <w:shd w:fill="auto" w:val="clear"/>
        </w:rPr>
        <w:t>du 6 décembre au 31 décembre 2023 </w:t>
      </w:r>
    </w:p>
    <w:p>
      <w:pPr>
        <w:pStyle w:val="Normal"/>
        <w:spacing w:before="0" w:after="0"/>
        <w:ind w:hanging="0"/>
        <w:contextualSpacing/>
        <w:rPr>
          <w:sz w:val="12"/>
          <w:szCs w:val="12"/>
          <w:shd w:fill="auto" w:val="clear"/>
        </w:rPr>
      </w:pPr>
      <w:r>
        <w:rPr>
          <w:sz w:val="12"/>
          <w:szCs w:val="12"/>
          <w:shd w:fill="auto" w:val="clear"/>
        </w:rPr>
      </w:r>
    </w:p>
    <w:p>
      <w:pPr>
        <w:pStyle w:val="ListParagraph"/>
        <w:numPr>
          <w:ilvl w:val="0"/>
          <w:numId w:val="0"/>
        </w:numPr>
        <w:spacing w:lineRule="auto" w:line="240" w:before="0" w:after="0"/>
        <w:ind w:left="720" w:hanging="0"/>
        <w:contextualSpacing/>
        <w:jc w:val="both"/>
        <w:rPr>
          <w:rFonts w:ascii="Times New Roman" w:hAnsi="Times New Roman"/>
          <w:color w:val="000000"/>
          <w:sz w:val="24"/>
          <w:szCs w:val="24"/>
          <w:shd w:fill="auto" w:val="clear"/>
        </w:rPr>
      </w:pPr>
      <w:r>
        <w:rPr>
          <w:rFonts w:ascii="Times New Roman" w:hAnsi="Times New Roman"/>
          <w:color w:val="000000"/>
          <w:sz w:val="24"/>
          <w:szCs w:val="24"/>
          <w:shd w:fill="auto" w:val="clear"/>
        </w:rPr>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Horaires d’intervention : 2 créneaux horaires d’interventions, de 09h00 – 12h00 et de 14h00 – 18h00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Nocturne le 23 décembre 2023 jusqu’à 22h00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Ouverture des commerces le 20, 24 et 31 décembre 2023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 xml:space="preserve">Présence du père Noël et mère Noël dans la ville ;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La maison du père Noël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Stands d’ateliers créatifs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Une calèche avec des chevaux  du 21 au 24 décembre 2023 jusqu’à 15h00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Parade de Noël le 23 décembre 2023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1 chorale de Noël le 23 décembre 2023 sur le débarcadère (horaire à déterminer)</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Stand d’emballage cadeaux ;</w:t>
      </w:r>
    </w:p>
    <w:p>
      <w:pPr>
        <w:pStyle w:val="ListParagraph"/>
        <w:numPr>
          <w:ilvl w:val="0"/>
          <w:numId w:val="0"/>
        </w:numPr>
        <w:spacing w:lineRule="auto" w:line="240" w:before="0" w:after="0"/>
        <w:ind w:left="0" w:hanging="0"/>
        <w:contextualSpacing/>
        <w:jc w:val="both"/>
        <w:rPr>
          <w:b/>
          <w:b/>
          <w:bCs/>
        </w:rPr>
      </w:pPr>
      <w:r>
        <w:rPr>
          <w:b/>
          <w:bCs/>
        </w:rPr>
      </w:r>
    </w:p>
    <w:p>
      <w:pPr>
        <w:pStyle w:val="ListParagraph"/>
        <w:numPr>
          <w:ilvl w:val="0"/>
          <w:numId w:val="0"/>
        </w:numPr>
        <w:spacing w:lineRule="auto" w:line="240" w:before="0" w:after="0"/>
        <w:ind w:left="0" w:hanging="0"/>
        <w:contextualSpacing/>
        <w:jc w:val="both"/>
        <w:rPr>
          <w:b/>
          <w:b/>
          <w:bCs/>
        </w:rPr>
      </w:pPr>
      <w:r>
        <w:rPr>
          <w:b/>
          <w:bCs/>
        </w:rPr>
        <w:t xml:space="preserve">Débarcadère de Saint-Paul </w:t>
      </w:r>
    </w:p>
    <w:p>
      <w:pPr>
        <w:pStyle w:val="ListParagraph"/>
        <w:numPr>
          <w:ilvl w:val="0"/>
          <w:numId w:val="0"/>
        </w:numPr>
        <w:spacing w:lineRule="auto" w:line="240" w:before="0" w:after="0"/>
        <w:ind w:left="0" w:hanging="0"/>
        <w:contextualSpacing/>
        <w:jc w:val="both"/>
        <w:rPr>
          <w:b/>
          <w:b/>
          <w:bCs/>
        </w:rPr>
      </w:pPr>
      <w:r>
        <w:rPr>
          <w:b/>
          <w:bCs/>
        </w:rPr>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 xml:space="preserve">1 animateur micro  du 21 au 23 décembre 2023 (9h à 19h00) et jusqu’à 22h00 le 23 décembre </w:t>
      </w:r>
      <w:r>
        <w:rPr>
          <w:rFonts w:ascii="Times New Roman" w:hAnsi="Times New Roman"/>
          <w:color w:val="000000"/>
          <w:sz w:val="24"/>
          <w:szCs w:val="24"/>
          <w:shd w:fill="auto" w:val="clear"/>
        </w:rPr>
        <w:t>2023</w:t>
      </w:r>
      <w:r>
        <w:rPr>
          <w:rFonts w:ascii="Times New Roman" w:hAnsi="Times New Roman"/>
          <w:color w:val="000000"/>
          <w:sz w:val="24"/>
          <w:szCs w:val="24"/>
          <w:shd w:fill="auto" w:val="clear"/>
        </w:rPr>
        <w:t>;</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Sonorisation du site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Guirlande lumineuse le long du Caillebotis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La maison du Père Noël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Arche de Noël.</w:t>
      </w:r>
    </w:p>
    <w:p>
      <w:pPr>
        <w:pStyle w:val="Normal"/>
        <w:spacing w:before="0" w:after="0"/>
        <w:ind w:hanging="0"/>
        <w:contextualSpacing/>
        <w:rPr>
          <w:shd w:fill="auto" w:val="clear"/>
        </w:rPr>
      </w:pPr>
      <w:r>
        <w:rPr>
          <w:shd w:fill="auto" w:val="clear"/>
        </w:rPr>
      </w:r>
    </w:p>
    <w:p>
      <w:pPr>
        <w:pStyle w:val="Normal"/>
        <w:spacing w:before="0" w:after="0"/>
        <w:ind w:hanging="0"/>
        <w:contextualSpacing/>
        <w:rPr>
          <w:shd w:fill="auto" w:val="clear"/>
        </w:rPr>
      </w:pPr>
      <w:r>
        <w:rPr>
          <w:shd w:fill="auto" w:val="clear"/>
        </w:rPr>
      </w:r>
    </w:p>
    <w:p>
      <w:pPr>
        <w:pStyle w:val="Normal"/>
        <w:spacing w:before="0" w:after="0"/>
        <w:ind w:hanging="0"/>
        <w:contextualSpacing/>
        <w:rPr>
          <w:shd w:fill="auto" w:val="clear"/>
        </w:rPr>
      </w:pPr>
      <w:r>
        <w:rPr>
          <w:b/>
          <w:bCs/>
          <w:shd w:fill="auto" w:val="clear"/>
        </w:rPr>
        <w:t xml:space="preserve">Centre-ville de Saint-Gilles-les-Bains du 15 au 24 décembre 2023 </w:t>
      </w:r>
    </w:p>
    <w:p>
      <w:pPr>
        <w:pStyle w:val="Normal"/>
        <w:spacing w:before="0" w:after="0"/>
        <w:ind w:hanging="0"/>
        <w:contextualSpacing/>
        <w:rPr>
          <w:b/>
          <w:b/>
          <w:bCs/>
          <w:shd w:fill="auto" w:val="clear"/>
        </w:rPr>
      </w:pPr>
      <w:r>
        <w:rPr>
          <w:b/>
          <w:bCs/>
          <w:shd w:fill="auto" w:val="clear"/>
        </w:rPr>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Groupes de musique ;</w:t>
      </w:r>
    </w:p>
    <w:p>
      <w:pPr>
        <w:pStyle w:val="ListParagraph"/>
        <w:numPr>
          <w:ilvl w:val="0"/>
          <w:numId w:val="3"/>
        </w:numPr>
        <w:spacing w:lineRule="auto" w:line="240" w:before="0" w:after="0"/>
        <w:contextualSpacing/>
        <w:jc w:val="both"/>
        <w:rPr>
          <w:shd w:fill="auto" w:val="clear"/>
        </w:rPr>
      </w:pPr>
      <w:r>
        <w:rPr>
          <w:rFonts w:ascii="Times New Roman" w:hAnsi="Times New Roman"/>
          <w:strike w:val="false"/>
          <w:dstrike w:val="false"/>
          <w:color w:val="000000"/>
          <w:sz w:val="24"/>
          <w:szCs w:val="24"/>
          <w:shd w:fill="auto" w:val="clear"/>
        </w:rPr>
        <w:t>S</w:t>
      </w:r>
      <w:r>
        <w:rPr>
          <w:rFonts w:ascii="Times New Roman" w:hAnsi="Times New Roman"/>
          <w:color w:val="000000"/>
          <w:sz w:val="24"/>
          <w:szCs w:val="24"/>
          <w:shd w:fill="auto" w:val="clear"/>
        </w:rPr>
        <w:t>pectacle de danse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Animation de contes de Noël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Spectacle de rue (fanfare, échassier, jongleur, cracheur de feu ...)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Spectacle de cirque place Paul Julius Bénard ;</w:t>
      </w:r>
    </w:p>
    <w:p>
      <w:pPr>
        <w:pStyle w:val="ListParagraph"/>
        <w:numPr>
          <w:ilvl w:val="0"/>
          <w:numId w:val="3"/>
        </w:numPr>
        <w:spacing w:lineRule="auto" w:line="240" w:before="0" w:after="0"/>
        <w:contextualSpacing/>
        <w:jc w:val="both"/>
        <w:rPr>
          <w:shd w:fill="auto" w:val="clear"/>
        </w:rPr>
      </w:pPr>
      <w:r>
        <w:rPr>
          <w:rFonts w:ascii="Times New Roman" w:hAnsi="Times New Roman"/>
          <w:color w:val="000000"/>
          <w:sz w:val="24"/>
          <w:szCs w:val="24"/>
          <w:shd w:fill="auto" w:val="clear"/>
        </w:rPr>
        <w:t>Arche de Noël.</w:t>
      </w:r>
    </w:p>
    <w:p>
      <w:pPr>
        <w:pStyle w:val="ListParagraph"/>
        <w:spacing w:lineRule="auto" w:line="240" w:before="0" w:after="0"/>
        <w:ind w:left="0" w:hanging="0"/>
        <w:contextualSpacing/>
        <w:jc w:val="both"/>
        <w:rPr>
          <w:rFonts w:ascii="Times New Roman" w:hAnsi="Times New Roman"/>
          <w:color w:val="000000"/>
          <w:sz w:val="24"/>
          <w:szCs w:val="24"/>
          <w:u w:val="single"/>
          <w:shd w:fill="auto" w:val="clear"/>
        </w:rPr>
      </w:pPr>
      <w:r>
        <w:rPr>
          <w:rFonts w:ascii="Times New Roman" w:hAnsi="Times New Roman"/>
          <w:color w:val="000000"/>
          <w:sz w:val="24"/>
          <w:szCs w:val="24"/>
          <w:u w:val="single"/>
          <w:shd w:fill="auto" w:val="clear"/>
        </w:rPr>
      </w:r>
    </w:p>
    <w:p>
      <w:pPr>
        <w:pStyle w:val="ListParagraph"/>
        <w:spacing w:lineRule="auto" w:line="240" w:before="0" w:after="0"/>
        <w:ind w:left="0" w:hanging="0"/>
        <w:contextualSpacing/>
        <w:jc w:val="both"/>
        <w:rPr>
          <w:shd w:fill="auto" w:val="clear"/>
        </w:rPr>
      </w:pPr>
      <w:r>
        <w:rPr>
          <w:rFonts w:ascii="Times New Roman" w:hAnsi="Times New Roman"/>
          <w:color w:val="000000"/>
          <w:sz w:val="24"/>
          <w:szCs w:val="24"/>
          <w:u w:val="single"/>
          <w:shd w:fill="auto" w:val="clear"/>
        </w:rPr>
        <w:t>Respect de la réglementation et gestion des risques</w:t>
      </w:r>
      <w:r>
        <w:rPr>
          <w:rFonts w:ascii="Times New Roman" w:hAnsi="Times New Roman"/>
          <w:color w:val="000000"/>
          <w:sz w:val="24"/>
          <w:szCs w:val="24"/>
          <w:shd w:fill="auto" w:val="clear"/>
        </w:rPr>
        <w:t> :</w:t>
      </w:r>
    </w:p>
    <w:p>
      <w:pPr>
        <w:pStyle w:val="ListParagraph"/>
        <w:spacing w:lineRule="auto" w:line="240" w:before="0" w:after="0"/>
        <w:ind w:left="0" w:hanging="0"/>
        <w:contextualSpacing/>
        <w:jc w:val="both"/>
        <w:rPr>
          <w:rFonts w:ascii="Times New Roman" w:hAnsi="Times New Roman"/>
          <w:color w:val="000000"/>
          <w:sz w:val="24"/>
          <w:szCs w:val="24"/>
          <w:u w:val="single"/>
          <w:shd w:fill="auto" w:val="clear"/>
        </w:rPr>
      </w:pPr>
      <w:r>
        <w:rPr>
          <w:rFonts w:ascii="Times New Roman" w:hAnsi="Times New Roman"/>
          <w:color w:val="000000"/>
          <w:sz w:val="24"/>
          <w:szCs w:val="24"/>
          <w:u w:val="single"/>
          <w:shd w:fill="auto" w:val="clear"/>
        </w:rPr>
      </w:r>
    </w:p>
    <w:p>
      <w:pPr>
        <w:pStyle w:val="ListParagraph"/>
        <w:spacing w:lineRule="auto" w:line="240" w:before="0" w:after="0"/>
        <w:ind w:left="0" w:hanging="0"/>
        <w:contextualSpacing/>
        <w:jc w:val="both"/>
        <w:rPr>
          <w:shd w:fill="auto" w:val="clear"/>
        </w:rPr>
      </w:pPr>
      <w:r>
        <w:rPr>
          <w:rFonts w:ascii="Times New Roman" w:hAnsi="Times New Roman"/>
          <w:color w:val="000000"/>
          <w:sz w:val="24"/>
          <w:szCs w:val="24"/>
          <w:shd w:fill="auto" w:val="clear"/>
        </w:rPr>
        <w:t>Le prestataire retenu s’engage à :</w:t>
      </w:r>
    </w:p>
    <w:p>
      <w:pPr>
        <w:pStyle w:val="Normal"/>
        <w:numPr>
          <w:ilvl w:val="0"/>
          <w:numId w:val="6"/>
        </w:numPr>
        <w:suppressAutoHyphens w:val="false"/>
        <w:rPr>
          <w:shd w:fill="auto" w:val="clear"/>
        </w:rPr>
      </w:pPr>
      <w:r>
        <w:rPr>
          <w:color w:val="000000"/>
          <w:szCs w:val="24"/>
          <w:shd w:fill="auto" w:val="clear"/>
          <w:lang w:eastAsia="fr-RE"/>
        </w:rPr>
        <w:t>Répondre aux conditions de sécurité renforcée et aux garanties de technique,</w:t>
      </w:r>
    </w:p>
    <w:p>
      <w:pPr>
        <w:pStyle w:val="Normal"/>
        <w:numPr>
          <w:ilvl w:val="0"/>
          <w:numId w:val="6"/>
        </w:numPr>
        <w:suppressAutoHyphens w:val="false"/>
        <w:rPr>
          <w:shd w:fill="auto" w:val="clear"/>
        </w:rPr>
      </w:pPr>
      <w:r>
        <w:rPr>
          <w:color w:val="000000"/>
          <w:szCs w:val="24"/>
          <w:shd w:fill="auto" w:val="clear"/>
          <w:lang w:eastAsia="fr-RE"/>
        </w:rPr>
        <w:t>Proposer des mesures préventives pour réduire les risques lors des interventions,</w:t>
      </w:r>
    </w:p>
    <w:p>
      <w:pPr>
        <w:pStyle w:val="Normal"/>
        <w:numPr>
          <w:ilvl w:val="0"/>
          <w:numId w:val="6"/>
        </w:numPr>
        <w:suppressAutoHyphens w:val="false"/>
        <w:rPr>
          <w:shd w:fill="auto" w:val="clear"/>
        </w:rPr>
      </w:pPr>
      <w:r>
        <w:rPr>
          <w:color w:val="000000"/>
          <w:szCs w:val="24"/>
          <w:shd w:fill="auto" w:val="clear"/>
          <w:lang w:eastAsia="fr-RE"/>
        </w:rPr>
        <w:t>Informer des dangers potentiels de la pratique,</w:t>
      </w:r>
    </w:p>
    <w:p>
      <w:pPr>
        <w:pStyle w:val="Normal"/>
        <w:numPr>
          <w:ilvl w:val="0"/>
          <w:numId w:val="6"/>
        </w:numPr>
        <w:suppressAutoHyphens w:val="false"/>
        <w:rPr>
          <w:shd w:fill="auto" w:val="clear"/>
        </w:rPr>
      </w:pPr>
      <w:r>
        <w:rPr>
          <w:color w:val="000000"/>
          <w:szCs w:val="24"/>
          <w:shd w:fill="auto" w:val="clear"/>
          <w:lang w:eastAsia="fr-RE"/>
        </w:rPr>
        <w:t>Vérifier la conformité des activités, des équipements et du matériel utilisé,</w:t>
      </w:r>
    </w:p>
    <w:p>
      <w:pPr>
        <w:pStyle w:val="Normal"/>
        <w:numPr>
          <w:ilvl w:val="0"/>
          <w:numId w:val="6"/>
        </w:numPr>
        <w:suppressAutoHyphens w:val="false"/>
        <w:rPr>
          <w:shd w:fill="auto" w:val="clear"/>
        </w:rPr>
      </w:pPr>
      <w:r>
        <w:rPr>
          <w:szCs w:val="24"/>
          <w:shd w:fill="auto" w:val="clear"/>
        </w:rPr>
        <w:t>Assurer l’encadrement du personnel qualifié et n’étant pas frappé par une interdiction d’exercice auprès du public ;</w:t>
      </w:r>
    </w:p>
    <w:p>
      <w:pPr>
        <w:pStyle w:val="Normal"/>
        <w:numPr>
          <w:ilvl w:val="0"/>
          <w:numId w:val="6"/>
        </w:numPr>
        <w:suppressAutoHyphens w:val="false"/>
        <w:rPr>
          <w:highlight w:val="none"/>
          <w:shd w:fill="auto" w:val="clear"/>
        </w:rPr>
      </w:pPr>
      <w:r>
        <w:rPr>
          <w:szCs w:val="24"/>
          <w:shd w:fill="auto" w:val="clear"/>
        </w:rPr>
        <w:t xml:space="preserve">Dans le cadre de la sécurité renforcé du territoire des spécificités sont à prévoir dans le cas ou des mesures sont recommandées par les Autorités.  </w:t>
      </w:r>
    </w:p>
    <w:p>
      <w:pPr>
        <w:pStyle w:val="ListParagraph"/>
        <w:spacing w:lineRule="auto" w:line="240" w:before="0" w:after="0"/>
        <w:ind w:left="0" w:hanging="0"/>
        <w:contextualSpacing/>
        <w:jc w:val="both"/>
        <w:rPr>
          <w:rFonts w:ascii="Times New Roman" w:hAnsi="Times New Roman"/>
          <w:color w:val="000000"/>
          <w:sz w:val="24"/>
          <w:szCs w:val="24"/>
          <w:shd w:fill="auto" w:val="clear"/>
        </w:rPr>
      </w:pPr>
      <w:r>
        <w:rPr>
          <w:rFonts w:ascii="Times New Roman" w:hAnsi="Times New Roman"/>
          <w:color w:val="000000"/>
          <w:sz w:val="24"/>
          <w:szCs w:val="24"/>
          <w:shd w:fill="auto" w:val="clear"/>
        </w:rPr>
      </w:r>
    </w:p>
    <w:p>
      <w:pPr>
        <w:pStyle w:val="ListParagraph"/>
        <w:spacing w:lineRule="auto" w:line="240" w:before="0" w:after="0"/>
        <w:ind w:left="0" w:hanging="0"/>
        <w:contextualSpacing/>
        <w:jc w:val="both"/>
        <w:rPr>
          <w:shd w:fill="auto" w:val="clear"/>
        </w:rPr>
      </w:pPr>
      <w:r>
        <w:rPr>
          <w:rFonts w:ascii="Times New Roman" w:hAnsi="Times New Roman"/>
          <w:color w:val="000000"/>
          <w:sz w:val="24"/>
          <w:szCs w:val="24"/>
          <w:shd w:fill="auto" w:val="clear"/>
        </w:rPr>
        <w:t>Toutes les dispositions prises par le prestataire seront indiquées dans le mémoire technique à joindre au dossier de candidature.</w:t>
      </w:r>
    </w:p>
    <w:p>
      <w:pPr>
        <w:pStyle w:val="ListParagraph"/>
        <w:spacing w:lineRule="auto" w:line="240" w:before="0" w:after="0"/>
        <w:ind w:left="0" w:hanging="0"/>
        <w:contextualSpacing/>
        <w:jc w:val="both"/>
        <w:rPr>
          <w:rFonts w:ascii="Times New Roman" w:hAnsi="Times New Roman"/>
          <w:color w:val="000000"/>
          <w:sz w:val="24"/>
          <w:szCs w:val="24"/>
          <w:shd w:fill="auto" w:val="clear"/>
        </w:rPr>
      </w:pPr>
      <w:r>
        <w:rPr>
          <w:rFonts w:ascii="Times New Roman" w:hAnsi="Times New Roman"/>
          <w:color w:val="000000"/>
          <w:sz w:val="24"/>
          <w:szCs w:val="24"/>
          <w:shd w:fill="auto" w:val="clear"/>
        </w:rPr>
      </w:r>
    </w:p>
    <w:p>
      <w:pPr>
        <w:pStyle w:val="ListParagraph"/>
        <w:spacing w:lineRule="auto" w:line="240" w:before="0" w:after="0"/>
        <w:ind w:left="0" w:hanging="0"/>
        <w:contextualSpacing/>
        <w:jc w:val="both"/>
        <w:rPr>
          <w:shd w:fill="auto" w:val="clear"/>
        </w:rPr>
      </w:pPr>
      <w:bookmarkStart w:id="11" w:name="_GoBack"/>
      <w:bookmarkEnd w:id="11"/>
      <w:r>
        <w:rPr>
          <w:rFonts w:ascii="Times New Roman" w:hAnsi="Times New Roman"/>
          <w:color w:val="000000"/>
          <w:sz w:val="24"/>
          <w:szCs w:val="24"/>
          <w:u w:val="single"/>
          <w:shd w:fill="auto" w:val="clear"/>
        </w:rPr>
        <w:t>Annulations – retards :</w:t>
      </w:r>
    </w:p>
    <w:p>
      <w:pPr>
        <w:pStyle w:val="Western"/>
        <w:spacing w:beforeAutospacing="0" w:before="280" w:after="0"/>
        <w:jc w:val="both"/>
        <w:rPr>
          <w:shd w:fill="auto" w:val="clear"/>
        </w:rPr>
      </w:pPr>
      <w:r>
        <w:rPr>
          <w:rFonts w:cs="Times New Roman" w:ascii="Times New Roman" w:hAnsi="Times New Roman"/>
          <w:sz w:val="24"/>
          <w:szCs w:val="24"/>
          <w:shd w:fill="auto" w:val="clear"/>
          <w:lang w:val="fr-FR"/>
        </w:rPr>
        <w:t>La commune se réserve le droit d’annuler l’activité en cas de force majeur ou manquements constatés, susceptibles de remettre en cause la sécurité ou les objectifs telle que définis dans l’offre de prestation, notamment :</w:t>
      </w:r>
    </w:p>
    <w:p>
      <w:pPr>
        <w:pStyle w:val="Western"/>
        <w:numPr>
          <w:ilvl w:val="0"/>
          <w:numId w:val="7"/>
        </w:numPr>
        <w:spacing w:beforeAutospacing="0" w:before="280" w:after="0"/>
        <w:ind w:left="709" w:hanging="360"/>
        <w:jc w:val="both"/>
        <w:rPr>
          <w:shd w:fill="auto" w:val="clear"/>
        </w:rPr>
      </w:pPr>
      <w:r>
        <w:rPr>
          <w:rFonts w:cs="Times New Roman" w:ascii="Times New Roman" w:hAnsi="Times New Roman"/>
          <w:sz w:val="24"/>
          <w:szCs w:val="24"/>
          <w:shd w:fill="auto" w:val="clear"/>
          <w:lang w:val="fr-FR"/>
        </w:rPr>
        <w:t>en cas de constat d’un décalage important entre l’offre théorique et la mise en œuvre opérationnelle de la prestation,</w:t>
      </w:r>
    </w:p>
    <w:p>
      <w:pPr>
        <w:pStyle w:val="Western"/>
        <w:numPr>
          <w:ilvl w:val="0"/>
          <w:numId w:val="7"/>
        </w:numPr>
        <w:spacing w:beforeAutospacing="0" w:before="0" w:after="0"/>
        <w:ind w:left="709" w:hanging="360"/>
        <w:jc w:val="both"/>
        <w:rPr>
          <w:shd w:fill="auto" w:val="clear"/>
        </w:rPr>
      </w:pPr>
      <w:r>
        <w:rPr>
          <w:rFonts w:cs="Times New Roman" w:ascii="Times New Roman" w:hAnsi="Times New Roman"/>
          <w:sz w:val="24"/>
          <w:szCs w:val="24"/>
          <w:shd w:fill="auto" w:val="clear"/>
          <w:lang w:val="fr-FR"/>
        </w:rPr>
        <w:t>dégradation des conditions météorologiques,</w:t>
      </w:r>
    </w:p>
    <w:p>
      <w:pPr>
        <w:pStyle w:val="Western"/>
        <w:numPr>
          <w:ilvl w:val="0"/>
          <w:numId w:val="7"/>
        </w:numPr>
        <w:spacing w:beforeAutospacing="0" w:before="0" w:after="0"/>
        <w:ind w:left="709" w:hanging="360"/>
        <w:jc w:val="both"/>
        <w:rPr>
          <w:shd w:fill="auto" w:val="clear"/>
        </w:rPr>
      </w:pPr>
      <w:r>
        <w:rPr>
          <w:rFonts w:cs="Times New Roman" w:ascii="Times New Roman" w:hAnsi="Times New Roman"/>
          <w:sz w:val="24"/>
          <w:szCs w:val="24"/>
          <w:shd w:fill="auto" w:val="clear"/>
          <w:lang w:val="fr-FR"/>
        </w:rPr>
        <w:t>non-respect de l’encadrement,</w:t>
      </w:r>
    </w:p>
    <w:p>
      <w:pPr>
        <w:pStyle w:val="Western"/>
        <w:numPr>
          <w:ilvl w:val="0"/>
          <w:numId w:val="7"/>
        </w:numPr>
        <w:spacing w:beforeAutospacing="0" w:before="0" w:after="0"/>
        <w:ind w:left="709" w:hanging="360"/>
        <w:jc w:val="both"/>
        <w:rPr>
          <w:shd w:fill="auto" w:val="clear"/>
        </w:rPr>
      </w:pPr>
      <w:r>
        <w:rPr>
          <w:rFonts w:cs="Times New Roman" w:ascii="Times New Roman" w:hAnsi="Times New Roman"/>
          <w:sz w:val="24"/>
          <w:szCs w:val="24"/>
          <w:shd w:fill="auto" w:val="clear"/>
          <w:lang w:val="fr-FR"/>
        </w:rPr>
        <w:t>non-respect des horaires,</w:t>
      </w:r>
    </w:p>
    <w:p>
      <w:pPr>
        <w:pStyle w:val="Western"/>
        <w:numPr>
          <w:ilvl w:val="0"/>
          <w:numId w:val="7"/>
        </w:numPr>
        <w:spacing w:beforeAutospacing="0" w:before="0" w:after="0"/>
        <w:ind w:left="709" w:hanging="360"/>
        <w:jc w:val="both"/>
        <w:rPr>
          <w:shd w:fill="auto" w:val="clear"/>
        </w:rPr>
      </w:pPr>
      <w:r>
        <w:rPr>
          <w:rFonts w:cs="Times New Roman" w:ascii="Times New Roman" w:hAnsi="Times New Roman"/>
          <w:sz w:val="24"/>
          <w:szCs w:val="24"/>
          <w:shd w:fill="auto" w:val="clear"/>
          <w:lang w:val="fr-FR"/>
        </w:rPr>
        <w:t>toute action non conforme à la réglementation en vigueur et aux engagements du prestataire.</w:t>
      </w:r>
    </w:p>
    <w:p>
      <w:pPr>
        <w:pStyle w:val="Western"/>
        <w:spacing w:beforeAutospacing="0" w:before="280" w:after="0"/>
        <w:jc w:val="both"/>
        <w:rPr>
          <w:shd w:fill="auto" w:val="clear"/>
        </w:rPr>
      </w:pPr>
      <w:r>
        <w:rPr>
          <w:rFonts w:cs="Times New Roman" w:ascii="Times New Roman" w:hAnsi="Times New Roman"/>
          <w:bCs/>
          <w:sz w:val="24"/>
          <w:szCs w:val="24"/>
          <w:shd w:fill="auto" w:val="clear"/>
          <w:lang w:val="fr-FR"/>
        </w:rPr>
        <w:t>Toute annulation à l’initiative de la Ville devra être communiquée au plus tard à 09h00 le jour de la prestation, elle ne pourra pas être facturée en faveur du prestataire.</w:t>
      </w:r>
    </w:p>
    <w:p>
      <w:pPr>
        <w:pStyle w:val="Western"/>
        <w:spacing w:beforeAutospacing="0" w:before="280" w:after="0"/>
        <w:jc w:val="both"/>
        <w:rPr>
          <w:shd w:fill="auto" w:val="clear"/>
        </w:rPr>
      </w:pPr>
      <w:r>
        <w:rPr>
          <w:rFonts w:cs="Times New Roman" w:ascii="Times New Roman" w:hAnsi="Times New Roman"/>
          <w:sz w:val="24"/>
          <w:szCs w:val="24"/>
          <w:shd w:fill="auto" w:val="clear"/>
          <w:lang w:val="fr-FR"/>
        </w:rPr>
        <w:t>Toute annulation, retard ou absence non justifiée imputable au prestataire fera l’objet d’un décompte dans la facture globale de la mission. Il est demandé au prestataire d’avertir le service gestionnaire et dans la mesure du possible, la veille avant 16H00 ou au plus tard le matin avant 09h00.</w:t>
      </w:r>
    </w:p>
    <w:p>
      <w:pPr>
        <w:pStyle w:val="ListParagraph"/>
        <w:spacing w:lineRule="auto" w:line="240" w:before="0" w:after="0"/>
        <w:ind w:left="0" w:hanging="0"/>
        <w:contextualSpacing/>
        <w:jc w:val="both"/>
        <w:rPr>
          <w:rFonts w:ascii="Times New Roman" w:hAnsi="Times New Roman"/>
          <w:color w:val="000000"/>
          <w:sz w:val="24"/>
          <w:szCs w:val="24"/>
          <w:shd w:fill="auto" w:val="clear"/>
        </w:rPr>
      </w:pPr>
      <w:r>
        <w:rPr>
          <w:rFonts w:ascii="Times New Roman" w:hAnsi="Times New Roman"/>
          <w:color w:val="000000"/>
          <w:sz w:val="24"/>
          <w:szCs w:val="24"/>
          <w:shd w:fill="auto" w:val="clear"/>
        </w:rPr>
      </w:r>
    </w:p>
    <w:p>
      <w:pPr>
        <w:pStyle w:val="Titre2"/>
        <w:numPr>
          <w:ilvl w:val="0"/>
          <w:numId w:val="2"/>
        </w:numPr>
        <w:spacing w:before="0" w:after="0"/>
        <w:contextualSpacing/>
        <w:rPr>
          <w:shd w:fill="auto" w:val="clear"/>
        </w:rPr>
      </w:pPr>
      <w:r>
        <w:rPr>
          <w:sz w:val="26"/>
          <w:szCs w:val="26"/>
          <w:shd w:fill="auto" w:val="clear"/>
        </w:rPr>
        <w:t>Assurance</w:t>
      </w:r>
    </w:p>
    <w:p>
      <w:pPr>
        <w:pStyle w:val="Western"/>
        <w:spacing w:beforeAutospacing="0" w:before="280" w:after="0"/>
        <w:jc w:val="both"/>
        <w:rPr>
          <w:shd w:fill="auto" w:val="clear"/>
        </w:rPr>
      </w:pPr>
      <w:r>
        <w:rPr>
          <w:rFonts w:cs="Times New Roman" w:ascii="Times New Roman" w:hAnsi="Times New Roman"/>
          <w:sz w:val="24"/>
          <w:szCs w:val="24"/>
          <w:shd w:fill="auto" w:val="clear"/>
          <w:lang w:val="fr-FR"/>
        </w:rPr>
        <w:t xml:space="preserve">Le prestataire s’engage à contracter toutes les polices d’assurances nécessaires pour garantir sa responsabilité civile </w:t>
      </w:r>
      <w:r>
        <w:rPr>
          <w:rFonts w:cs="Times New Roman" w:ascii="Times New Roman" w:hAnsi="Times New Roman"/>
          <w:sz w:val="24"/>
          <w:szCs w:val="24"/>
          <w:shd w:fill="auto" w:val="clear"/>
        </w:rPr>
        <w:t>dans le cadre d</w:t>
      </w:r>
      <w:r>
        <w:rPr>
          <w:rFonts w:cs="Times New Roman" w:ascii="Times New Roman" w:hAnsi="Times New Roman"/>
          <w:sz w:val="24"/>
          <w:szCs w:val="24"/>
          <w:shd w:fill="auto" w:val="clear"/>
          <w:lang w:val="fr-FR"/>
        </w:rPr>
        <w:t xml:space="preserve">es sinistres dont il pourrait être responsable, de son fait, de façon à ce que la responsabilité de la Commune ne puisse en aucun cas être engagée. La preuve d’avoir satisfait à ces exigences sera fournie à la Commune par la production </w:t>
      </w:r>
      <w:r>
        <w:rPr>
          <w:rFonts w:cs="Times New Roman" w:ascii="Times New Roman" w:hAnsi="Times New Roman"/>
          <w:b/>
          <w:bCs/>
          <w:iCs/>
          <w:sz w:val="24"/>
          <w:szCs w:val="24"/>
          <w:shd w:fill="auto" w:val="clear"/>
          <w:lang w:val="fr-FR"/>
        </w:rPr>
        <w:t>d’une attestation de l’assureur.</w:t>
      </w:r>
    </w:p>
    <w:p>
      <w:pPr>
        <w:pStyle w:val="Normal"/>
        <w:rPr>
          <w:shd w:fill="auto" w:val="clear"/>
        </w:rPr>
      </w:pPr>
      <w:r>
        <w:rPr>
          <w:shd w:fill="auto" w:val="clear"/>
        </w:rPr>
      </w:r>
    </w:p>
    <w:p>
      <w:pPr>
        <w:pStyle w:val="Normal"/>
        <w:rPr>
          <w:shd w:fill="auto" w:val="clear"/>
        </w:rPr>
      </w:pPr>
      <w:r>
        <w:rPr>
          <w:shd w:fill="auto" w:val="clear"/>
        </w:rPr>
      </w:r>
    </w:p>
    <w:p>
      <w:pPr>
        <w:pStyle w:val="Normal"/>
        <w:rPr>
          <w:shd w:fill="auto" w:val="clear"/>
        </w:rPr>
      </w:pPr>
      <w:r>
        <w:rPr>
          <w:shd w:fill="auto" w:val="clear"/>
        </w:rPr>
      </w:r>
    </w:p>
    <w:p>
      <w:pPr>
        <w:pStyle w:val="Titre2"/>
        <w:numPr>
          <w:ilvl w:val="0"/>
          <w:numId w:val="2"/>
        </w:numPr>
        <w:spacing w:before="0" w:after="0"/>
        <w:contextualSpacing/>
        <w:rPr>
          <w:shd w:fill="auto" w:val="clear"/>
        </w:rPr>
      </w:pPr>
      <w:bookmarkStart w:id="12" w:name="_Toc518976589"/>
      <w:bookmarkStart w:id="13" w:name="_Toc160269074"/>
      <w:bookmarkStart w:id="14" w:name="_Toc488393092"/>
      <w:bookmarkStart w:id="15" w:name="_Toc374968174"/>
      <w:bookmarkStart w:id="16" w:name="_Toc373156820"/>
      <w:bookmarkStart w:id="17" w:name="_Toc373156646"/>
      <w:bookmarkStart w:id="18" w:name="_Toc295217020"/>
      <w:r>
        <w:rPr>
          <w:sz w:val="26"/>
          <w:szCs w:val="26"/>
          <w:shd w:fill="auto" w:val="clear"/>
        </w:rPr>
        <w:t>Confidentialit</w:t>
      </w:r>
      <w:bookmarkEnd w:id="13"/>
      <w:bookmarkEnd w:id="14"/>
      <w:bookmarkEnd w:id="15"/>
      <w:bookmarkEnd w:id="16"/>
      <w:bookmarkEnd w:id="17"/>
      <w:bookmarkEnd w:id="18"/>
      <w:r>
        <w:rPr>
          <w:sz w:val="26"/>
          <w:szCs w:val="26"/>
          <w:shd w:fill="auto" w:val="clear"/>
        </w:rPr>
        <w:t>é</w:t>
      </w:r>
      <w:bookmarkEnd w:id="12"/>
    </w:p>
    <w:p>
      <w:pPr>
        <w:pStyle w:val="Normal"/>
        <w:spacing w:before="0" w:after="0"/>
        <w:ind w:hanging="0"/>
        <w:contextualSpacing/>
        <w:rPr>
          <w:color w:val="000000"/>
          <w:szCs w:val="24"/>
          <w:shd w:fill="auto" w:val="clear"/>
        </w:rPr>
      </w:pPr>
      <w:r>
        <w:rPr>
          <w:color w:val="000000"/>
          <w:szCs w:val="24"/>
          <w:shd w:fill="auto" w:val="clear"/>
        </w:rPr>
      </w:r>
    </w:p>
    <w:p>
      <w:pPr>
        <w:pStyle w:val="Normal"/>
        <w:spacing w:before="0" w:after="0"/>
        <w:ind w:hanging="0"/>
        <w:contextualSpacing/>
        <w:rPr>
          <w:shd w:fill="auto" w:val="clear"/>
        </w:rPr>
      </w:pPr>
      <w:r>
        <w:rPr>
          <w:color w:val="000000" w:themeColor="text1"/>
          <w:szCs w:val="24"/>
          <w:shd w:fill="auto" w:val="clear"/>
        </w:rPr>
        <w:t>Le prestataire est tenu de maintenir confidentiel l’ensemble des communications, des renseignements ou des documents qui lui sont transmis. Ces renseignements ou documents ne peuvent, sans autorisation expresse de la Commune, être communiqués à des tiers.</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color w:val="000000" w:themeColor="text1"/>
          <w:szCs w:val="24"/>
          <w:shd w:fill="auto" w:val="clear"/>
        </w:rPr>
        <w:t>Cette obligation de confidentialité est valable pour les informations recueillies dans le cadre des procédures préparatoires ou d’exécution.</w:t>
      </w:r>
    </w:p>
    <w:p>
      <w:pPr>
        <w:pStyle w:val="Normal"/>
        <w:spacing w:before="0" w:after="0"/>
        <w:ind w:hanging="0"/>
        <w:contextualSpacing/>
        <w:rPr>
          <w:szCs w:val="24"/>
          <w:shd w:fill="auto" w:val="clear"/>
        </w:rPr>
      </w:pPr>
      <w:r>
        <w:rPr>
          <w:szCs w:val="24"/>
          <w:shd w:fill="auto" w:val="clear"/>
        </w:rPr>
      </w:r>
      <w:bookmarkStart w:id="19" w:name="__RefHeading___Toc3429_2492909670"/>
      <w:bookmarkStart w:id="20" w:name="_Toc518976594"/>
      <w:bookmarkStart w:id="21" w:name="__RefHeading___Toc3429_2492909670"/>
      <w:bookmarkStart w:id="22" w:name="_Toc518976594"/>
      <w:bookmarkEnd w:id="21"/>
      <w:bookmarkEnd w:id="22"/>
    </w:p>
    <w:p>
      <w:pPr>
        <w:pStyle w:val="Normal"/>
        <w:spacing w:before="0" w:after="0"/>
        <w:ind w:hanging="0"/>
        <w:contextualSpacing/>
        <w:rPr>
          <w:szCs w:val="24"/>
          <w:shd w:fill="auto" w:val="clear"/>
        </w:rPr>
      </w:pPr>
      <w:r>
        <w:rPr>
          <w:szCs w:val="24"/>
          <w:shd w:fill="auto" w:val="clear"/>
        </w:rPr>
      </w:r>
    </w:p>
    <w:p>
      <w:pPr>
        <w:pStyle w:val="Titre2"/>
        <w:numPr>
          <w:ilvl w:val="0"/>
          <w:numId w:val="2"/>
        </w:numPr>
        <w:spacing w:before="0" w:after="0"/>
        <w:ind w:left="357" w:hanging="357"/>
        <w:contextualSpacing/>
        <w:rPr>
          <w:shd w:fill="auto" w:val="clear"/>
        </w:rPr>
      </w:pPr>
      <w:r>
        <w:rPr>
          <w:sz w:val="26"/>
          <w:szCs w:val="26"/>
          <w:shd w:fill="auto" w:val="clear"/>
        </w:rPr>
        <w:t>Modalité de candidatures</w:t>
      </w:r>
    </w:p>
    <w:p>
      <w:pPr>
        <w:pStyle w:val="Normal"/>
        <w:ind w:hanging="0"/>
        <w:rPr>
          <w:color w:val="000000"/>
          <w:szCs w:val="24"/>
          <w:shd w:fill="auto" w:val="clear"/>
        </w:rPr>
      </w:pPr>
      <w:r>
        <w:rPr>
          <w:color w:val="000000"/>
          <w:szCs w:val="24"/>
          <w:shd w:fill="auto" w:val="clear"/>
        </w:rPr>
      </w:r>
    </w:p>
    <w:p>
      <w:pPr>
        <w:pStyle w:val="Normal"/>
        <w:spacing w:before="0" w:after="0"/>
        <w:ind w:hanging="0"/>
        <w:contextualSpacing/>
        <w:rPr>
          <w:shd w:fill="auto" w:val="clear"/>
        </w:rPr>
      </w:pPr>
      <w:r>
        <w:rPr>
          <w:szCs w:val="24"/>
          <w:shd w:fill="auto" w:val="clear"/>
        </w:rPr>
        <w:t>La proposition du candidat comprendra nécessairement les éléments suivants :</w:t>
      </w:r>
    </w:p>
    <w:p>
      <w:pPr>
        <w:pStyle w:val="ListParagraph"/>
        <w:numPr>
          <w:ilvl w:val="0"/>
          <w:numId w:val="8"/>
        </w:numPr>
        <w:spacing w:lineRule="auto" w:line="240" w:before="0" w:after="0"/>
        <w:contextualSpacing/>
        <w:rPr>
          <w:shd w:fill="auto" w:val="clear"/>
        </w:rPr>
      </w:pPr>
      <w:r>
        <w:rPr>
          <w:rFonts w:ascii="Times New Roman" w:hAnsi="Times New Roman"/>
          <w:color w:val="000000"/>
          <w:sz w:val="24"/>
          <w:szCs w:val="24"/>
          <w:shd w:fill="auto" w:val="clear"/>
        </w:rPr>
        <w:t xml:space="preserve">un devis faisant apparaître le </w:t>
      </w:r>
      <w:r>
        <w:rPr>
          <w:rFonts w:ascii="Times New Roman" w:hAnsi="Times New Roman"/>
          <w:color w:val="000000"/>
          <w:sz w:val="24"/>
          <w:szCs w:val="24"/>
          <w:u w:val="none"/>
          <w:shd w:fill="auto" w:val="clear"/>
        </w:rPr>
        <w:t>coût des différentes prestations,</w:t>
      </w:r>
      <w:r>
        <w:rPr>
          <w:rFonts w:ascii="Times New Roman" w:hAnsi="Times New Roman"/>
          <w:color w:val="000000"/>
          <w:sz w:val="24"/>
          <w:szCs w:val="24"/>
          <w:shd w:fill="auto" w:val="clear"/>
        </w:rPr>
        <w:t xml:space="preserve"> ainsi que le montant TTC , préciser si le demandeur est assujettie à la T.V.A </w:t>
      </w:r>
      <w:r>
        <w:rPr>
          <w:rFonts w:ascii="Times New Roman" w:hAnsi="Times New Roman"/>
          <w:color w:val="000000"/>
          <w:sz w:val="24"/>
          <w:szCs w:val="24"/>
          <w:shd w:fill="auto" w:val="clear"/>
          <w:lang w:val="fr-RE"/>
        </w:rPr>
        <w:t>ainsi que son statut social,</w:t>
      </w:r>
    </w:p>
    <w:p>
      <w:pPr>
        <w:pStyle w:val="ListParagraph"/>
        <w:numPr>
          <w:ilvl w:val="0"/>
          <w:numId w:val="8"/>
        </w:numPr>
        <w:spacing w:lineRule="auto" w:line="240" w:before="0" w:after="0"/>
        <w:contextualSpacing/>
        <w:rPr>
          <w:shd w:fill="auto" w:val="clear"/>
        </w:rPr>
      </w:pPr>
      <w:r>
        <w:rPr>
          <w:rFonts w:ascii="Times New Roman" w:hAnsi="Times New Roman"/>
          <w:color w:val="000000"/>
          <w:sz w:val="24"/>
          <w:szCs w:val="24"/>
          <w:shd w:fill="auto" w:val="clear"/>
        </w:rPr>
        <w:t>la fiche technique et d’engagement jointe, dûment renseignée et accompagnée des pièces administratives demandées,</w:t>
      </w:r>
    </w:p>
    <w:p>
      <w:pPr>
        <w:pStyle w:val="ListParagraph"/>
        <w:numPr>
          <w:ilvl w:val="0"/>
          <w:numId w:val="8"/>
        </w:numPr>
        <w:spacing w:lineRule="auto" w:line="240" w:before="0" w:after="0"/>
        <w:contextualSpacing/>
        <w:rPr>
          <w:shd w:fill="auto" w:val="clear"/>
        </w:rPr>
      </w:pPr>
      <w:r>
        <w:rPr>
          <w:rFonts w:ascii="Times New Roman" w:hAnsi="Times New Roman"/>
          <w:color w:val="000000"/>
          <w:sz w:val="24"/>
          <w:szCs w:val="24"/>
          <w:shd w:fill="auto" w:val="clear"/>
        </w:rPr>
        <w:t>un mémoire technique détaillé (présentation détaillée des prestations, description des moyens mobilisés,  ainsi que tout autre élément que vous jugeriez utile).</w:t>
      </w:r>
    </w:p>
    <w:p>
      <w:pPr>
        <w:pStyle w:val="ListParagraph"/>
        <w:numPr>
          <w:ilvl w:val="0"/>
          <w:numId w:val="8"/>
        </w:numPr>
        <w:spacing w:lineRule="auto" w:line="240" w:before="0" w:after="0"/>
        <w:contextualSpacing/>
        <w:rPr>
          <w:shd w:fill="auto" w:val="clear"/>
        </w:rPr>
      </w:pPr>
      <w:r>
        <w:rPr>
          <w:rFonts w:ascii="Times New Roman" w:hAnsi="Times New Roman"/>
          <w:color w:val="000000"/>
          <w:sz w:val="24"/>
          <w:szCs w:val="24"/>
          <w:shd w:fill="auto" w:val="clear"/>
        </w:rPr>
        <w:t>licence d’entrepreneur de spectacle conformément à la législation en vigueur.</w:t>
      </w:r>
    </w:p>
    <w:p>
      <w:pPr>
        <w:pStyle w:val="Normal"/>
        <w:ind w:hanging="0"/>
        <w:rPr>
          <w:shd w:fill="auto" w:val="clear"/>
        </w:rPr>
      </w:pPr>
      <w:r>
        <w:rPr>
          <w:color w:val="000000"/>
          <w:szCs w:val="24"/>
          <w:shd w:fill="auto" w:val="clear"/>
        </w:rPr>
        <w:t>Les candidats peuvent se positionner sur plusieurs lots. Le cas échéant, le candidat devra déposer un dossier de candidature par lot visé.</w:t>
      </w:r>
    </w:p>
    <w:p>
      <w:pPr>
        <w:pStyle w:val="Normal"/>
        <w:ind w:hanging="0"/>
        <w:rPr>
          <w:color w:val="000000"/>
          <w:szCs w:val="24"/>
          <w:shd w:fill="auto" w:val="clear"/>
        </w:rPr>
      </w:pPr>
      <w:r>
        <w:rPr>
          <w:color w:val="000000"/>
          <w:szCs w:val="24"/>
          <w:shd w:fill="auto" w:val="clear"/>
        </w:rPr>
      </w:r>
    </w:p>
    <w:p>
      <w:pPr>
        <w:pStyle w:val="NormalWeb"/>
        <w:spacing w:before="280" w:after="280"/>
        <w:rPr>
          <w:shd w:fill="auto" w:val="clear"/>
        </w:rPr>
      </w:pPr>
      <w:r>
        <w:rPr>
          <w:shd w:fill="auto" w:val="clear"/>
        </w:rPr>
        <w:t xml:space="preserve">Les offres sont à transmettre </w:t>
      </w:r>
      <w:r>
        <w:rPr>
          <w:u w:val="none"/>
          <w:shd w:fill="auto" w:val="clear"/>
        </w:rPr>
        <w:t>impérativement</w:t>
      </w:r>
      <w:r>
        <w:rPr>
          <w:shd w:fill="auto" w:val="clear"/>
        </w:rPr>
        <w:t xml:space="preserve"> au plus tard le </w:t>
      </w:r>
      <w:r>
        <w:rPr>
          <w:b/>
          <w:bCs/>
          <w:color w:val="000000"/>
          <w:shd w:fill="auto" w:val="clear"/>
        </w:rPr>
        <w:t>15 Novembre</w:t>
      </w:r>
      <w:r>
        <w:rPr>
          <w:b/>
          <w:bCs/>
          <w:color w:val="000000"/>
          <w:shd w:fill="auto" w:val="clear"/>
          <w:lang w:val="fr-RE"/>
        </w:rPr>
        <w:t xml:space="preserve"> 2023</w:t>
      </w:r>
      <w:r>
        <w:rPr>
          <w:shd w:fill="auto" w:val="clear"/>
        </w:rPr>
        <w:t xml:space="preserve"> à 15h00, par mail </w:t>
      </w:r>
      <w:r>
        <w:rPr>
          <w:color w:val="000000"/>
          <w:shd w:fill="auto" w:val="clear"/>
          <w:lang w:val="fr-RE"/>
        </w:rPr>
        <w:t xml:space="preserve">ou par dépôt sous pli fermé comportant la mention « </w:t>
      </w:r>
      <w:r>
        <w:rPr>
          <w:b/>
          <w:bCs/>
          <w:color w:val="000000"/>
          <w:shd w:fill="auto" w:val="clear"/>
          <w:lang w:val="fr-RE"/>
        </w:rPr>
        <w:t>Offre de prestations</w:t>
      </w:r>
      <w:r>
        <w:rPr>
          <w:color w:val="000000"/>
          <w:shd w:fill="auto" w:val="clear"/>
          <w:lang w:val="fr-RE"/>
        </w:rPr>
        <w:t xml:space="preserve"> </w:t>
      </w:r>
      <w:r>
        <w:rPr>
          <w:b/>
          <w:bCs/>
          <w:color w:val="000000"/>
          <w:sz w:val="24"/>
          <w:szCs w:val="24"/>
          <w:shd w:fill="auto" w:val="clear"/>
          <w:lang w:val="fr-RE"/>
        </w:rPr>
        <w:t>pour des animations des fêtes de Noël 2023 aux centre-villes de Saint-Paul du 6 au 31 décembre 2023 et à Saint-Gilles-les-Bains du 15 au 24 décembre 2023</w:t>
      </w:r>
      <w:r>
        <w:rPr>
          <w:color w:val="000000"/>
          <w:shd w:fill="auto" w:val="clear"/>
          <w:lang w:val="fr-RE"/>
        </w:rPr>
        <w:t>.</w:t>
      </w:r>
    </w:p>
    <w:p>
      <w:pPr>
        <w:pStyle w:val="NormalWeb"/>
        <w:numPr>
          <w:ilvl w:val="0"/>
          <w:numId w:val="9"/>
        </w:numPr>
        <w:spacing w:beforeAutospacing="0" w:before="280" w:afterAutospacing="0" w:after="0"/>
        <w:rPr>
          <w:shd w:fill="auto" w:val="clear"/>
        </w:rPr>
      </w:pPr>
      <w:r>
        <w:rPr>
          <w:color w:val="000000" w:themeColor="text1"/>
          <w:shd w:fill="auto" w:val="clear"/>
          <w:lang w:val="fr-RE"/>
        </w:rPr>
        <w:t xml:space="preserve">Adresse du service  : 10, rue Quai Gilbert, 97864 Saint-Paul Cedex </w:t>
      </w:r>
    </w:p>
    <w:p>
      <w:pPr>
        <w:pStyle w:val="NormalWeb"/>
        <w:numPr>
          <w:ilvl w:val="0"/>
          <w:numId w:val="9"/>
        </w:numPr>
        <w:spacing w:beforeAutospacing="0" w:before="0" w:afterAutospacing="0" w:after="0"/>
        <w:rPr>
          <w:shd w:fill="auto" w:val="clear"/>
        </w:rPr>
      </w:pPr>
      <w:r>
        <w:rPr>
          <w:color w:val="000000" w:themeColor="text1"/>
          <w:shd w:fill="auto" w:val="clear"/>
        </w:rPr>
        <w:t>Adresses mail de transmission : secretariat.dvet@mairie-saintpaul.fr</w:t>
      </w:r>
    </w:p>
    <w:p>
      <w:pPr>
        <w:pStyle w:val="ListParagraph"/>
        <w:spacing w:lineRule="auto" w:line="240" w:before="0" w:after="0"/>
        <w:contextualSpacing/>
        <w:jc w:val="both"/>
        <w:rPr>
          <w:rFonts w:ascii="Times New Roman" w:hAnsi="Times New Roman"/>
          <w:shd w:fill="auto" w:val="clear"/>
        </w:rPr>
      </w:pPr>
      <w:r>
        <w:rPr>
          <w:rFonts w:ascii="Times New Roman" w:hAnsi="Times New Roman"/>
          <w:shd w:fill="auto" w:val="clear"/>
        </w:rPr>
      </w:r>
    </w:p>
    <w:p>
      <w:pPr>
        <w:pStyle w:val="Normal"/>
        <w:spacing w:before="0" w:after="0"/>
        <w:ind w:hanging="0"/>
        <w:contextualSpacing/>
        <w:rPr>
          <w:shd w:fill="auto" w:val="clear"/>
        </w:rPr>
      </w:pPr>
      <w:r>
        <w:rPr>
          <w:szCs w:val="24"/>
          <w:shd w:fill="auto" w:val="clear"/>
        </w:rPr>
        <w:t>Les demandes de précision sont à faire par e-mail.</w:t>
      </w:r>
    </w:p>
    <w:p>
      <w:pPr>
        <w:pStyle w:val="Titre2"/>
        <w:numPr>
          <w:ilvl w:val="0"/>
          <w:numId w:val="0"/>
        </w:numPr>
        <w:spacing w:before="0" w:after="0"/>
        <w:ind w:left="0" w:hanging="0"/>
        <w:contextualSpacing/>
        <w:rPr>
          <w:shd w:fill="auto" w:val="clear"/>
        </w:rPr>
      </w:pPr>
      <w:r>
        <w:rPr>
          <w:shd w:fill="auto" w:val="clear"/>
        </w:rPr>
      </w:r>
    </w:p>
    <w:p>
      <w:pPr>
        <w:pStyle w:val="Titre2"/>
        <w:numPr>
          <w:ilvl w:val="0"/>
          <w:numId w:val="2"/>
        </w:numPr>
        <w:spacing w:before="0" w:after="0"/>
        <w:ind w:left="357" w:hanging="357"/>
        <w:contextualSpacing/>
        <w:rPr>
          <w:shd w:fill="auto" w:val="clear"/>
        </w:rPr>
      </w:pPr>
      <w:r>
        <w:rPr>
          <w:sz w:val="26"/>
          <w:szCs w:val="26"/>
          <w:shd w:fill="auto" w:val="clear"/>
        </w:rPr>
        <w:t>Critères d’attribution – jugement des offres</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szCs w:val="24"/>
          <w:shd w:fill="auto" w:val="clear"/>
        </w:rPr>
        <w:t xml:space="preserve">La présente procédure est régie conformément au CCAG - </w:t>
      </w:r>
      <w:r>
        <w:rPr>
          <w:color w:val="000000" w:themeColor="text1"/>
          <w:szCs w:val="24"/>
          <w:shd w:fill="auto" w:val="clear"/>
        </w:rPr>
        <w:t>FCS (Arrêté du 30 mars 2021, JORF n° 0078 du 01 avril 2021)</w:t>
      </w:r>
      <w:r>
        <w:rPr>
          <w:szCs w:val="24"/>
          <w:shd w:fill="auto" w:val="clear"/>
        </w:rPr>
        <w:t xml:space="preserve"> en application des articles R. 2152-7 et R. 2152-11 du code de la commande publique, le Maître d’Ouvrage choisira l’offre la plus avantageuse à partir des critères pondérés ci-après : </w:t>
      </w:r>
    </w:p>
    <w:p>
      <w:pPr>
        <w:pStyle w:val="Normal"/>
        <w:spacing w:before="0" w:after="0"/>
        <w:ind w:hanging="0"/>
        <w:contextualSpacing/>
        <w:rPr>
          <w:szCs w:val="24"/>
          <w:shd w:fill="auto" w:val="clear"/>
        </w:rPr>
      </w:pPr>
      <w:r>
        <w:rPr>
          <w:szCs w:val="24"/>
          <w:shd w:fill="auto" w:val="clear"/>
        </w:rPr>
      </w:r>
    </w:p>
    <w:tbl>
      <w:tblPr>
        <w:tblW w:w="5835" w:type="dxa"/>
        <w:jc w:val="left"/>
        <w:tblInd w:w="1129" w:type="dxa"/>
        <w:tblLayout w:type="fixed"/>
        <w:tblCellMar>
          <w:top w:w="55" w:type="dxa"/>
          <w:left w:w="55" w:type="dxa"/>
          <w:bottom w:w="55" w:type="dxa"/>
          <w:right w:w="55" w:type="dxa"/>
        </w:tblCellMar>
        <w:tblLook w:firstRow="1" w:noVBand="1" w:lastRow="0" w:firstColumn="1" w:lastColumn="0" w:noHBand="0" w:val="04a0"/>
      </w:tblPr>
      <w:tblGrid>
        <w:gridCol w:w="4425"/>
        <w:gridCol w:w="1409"/>
      </w:tblGrid>
      <w:tr>
        <w:trPr/>
        <w:tc>
          <w:tcPr>
            <w:tcW w:w="4425" w:type="dxa"/>
            <w:tcBorders>
              <w:top w:val="single" w:sz="2" w:space="0" w:color="000000"/>
              <w:left w:val="single" w:sz="2" w:space="0" w:color="000000"/>
              <w:bottom w:val="single" w:sz="2" w:space="0" w:color="000000"/>
            </w:tcBorders>
            <w:shd w:color="auto" w:fill="CCCCCC" w:val="clear"/>
          </w:tcPr>
          <w:p>
            <w:pPr>
              <w:pStyle w:val="Contenudetableau"/>
              <w:widowControl w:val="false"/>
              <w:rPr>
                <w:b/>
                <w:b/>
                <w:bCs/>
                <w:shd w:fill="auto" w:val="clear"/>
              </w:rPr>
            </w:pPr>
            <w:r>
              <w:rPr>
                <w:b/>
                <w:bCs/>
                <w:shd w:fill="auto" w:val="clear"/>
              </w:rPr>
              <w:t>Valeur et qualité technique</w:t>
            </w:r>
          </w:p>
        </w:tc>
        <w:tc>
          <w:tcPr>
            <w:tcW w:w="1409" w:type="dxa"/>
            <w:tcBorders>
              <w:top w:val="single" w:sz="2" w:space="0" w:color="000000"/>
              <w:left w:val="single" w:sz="2" w:space="0" w:color="000000"/>
              <w:bottom w:val="single" w:sz="2" w:space="0" w:color="000000"/>
              <w:right w:val="single" w:sz="2" w:space="0" w:color="000000"/>
            </w:tcBorders>
          </w:tcPr>
          <w:p>
            <w:pPr>
              <w:pStyle w:val="Contenudetableau"/>
              <w:widowControl w:val="false"/>
              <w:jc w:val="center"/>
              <w:rPr>
                <w:shd w:fill="auto" w:val="clear"/>
              </w:rPr>
            </w:pPr>
            <w:r>
              <w:rPr>
                <w:shd w:fill="auto" w:val="clear"/>
              </w:rPr>
              <w:t>40 %</w:t>
            </w:r>
          </w:p>
        </w:tc>
      </w:tr>
      <w:tr>
        <w:trPr/>
        <w:tc>
          <w:tcPr>
            <w:tcW w:w="4425" w:type="dxa"/>
            <w:tcBorders>
              <w:left w:val="single" w:sz="2" w:space="0" w:color="000000"/>
              <w:bottom w:val="single" w:sz="2" w:space="0" w:color="000000"/>
            </w:tcBorders>
            <w:shd w:color="auto" w:fill="CCCCCC" w:val="clear"/>
          </w:tcPr>
          <w:p>
            <w:pPr>
              <w:pStyle w:val="Contenudetableau"/>
              <w:widowControl w:val="false"/>
              <w:rPr>
                <w:b/>
                <w:b/>
                <w:bCs/>
                <w:shd w:fill="auto" w:val="clear"/>
              </w:rPr>
            </w:pPr>
            <w:r>
              <w:rPr>
                <w:b/>
                <w:bCs/>
                <w:shd w:fill="auto" w:val="clear"/>
              </w:rPr>
              <w:t>Prix</w:t>
            </w:r>
          </w:p>
        </w:tc>
        <w:tc>
          <w:tcPr>
            <w:tcW w:w="1409" w:type="dxa"/>
            <w:tcBorders>
              <w:left w:val="single" w:sz="2" w:space="0" w:color="000000"/>
              <w:bottom w:val="single" w:sz="2" w:space="0" w:color="000000"/>
              <w:right w:val="single" w:sz="2" w:space="0" w:color="000000"/>
            </w:tcBorders>
          </w:tcPr>
          <w:p>
            <w:pPr>
              <w:pStyle w:val="Contenudetableau"/>
              <w:widowControl w:val="false"/>
              <w:jc w:val="center"/>
              <w:rPr>
                <w:shd w:fill="auto" w:val="clear"/>
              </w:rPr>
            </w:pPr>
            <w:r>
              <w:rPr>
                <w:shd w:fill="auto" w:val="clear"/>
              </w:rPr>
              <w:t>60 %</w:t>
            </w:r>
          </w:p>
        </w:tc>
      </w:tr>
    </w:tbl>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b/>
          <w:bCs/>
          <w:szCs w:val="24"/>
          <w:shd w:fill="auto" w:val="clear"/>
        </w:rPr>
        <w:t xml:space="preserve">1. </w:t>
      </w:r>
      <w:r>
        <w:rPr>
          <w:b/>
          <w:bCs/>
          <w:szCs w:val="24"/>
          <w:u w:val="single"/>
          <w:shd w:fill="auto" w:val="clear"/>
        </w:rPr>
        <w:t xml:space="preserve">La valeur et qualité technique de </w:t>
      </w:r>
      <w:r>
        <w:rPr>
          <w:b/>
          <w:bCs/>
          <w:szCs w:val="24"/>
          <w:shd w:fill="auto" w:val="clear"/>
        </w:rPr>
        <w:t>40 %</w:t>
      </w:r>
      <w:r>
        <w:rPr>
          <w:b/>
          <w:szCs w:val="24"/>
          <w:shd w:fill="auto" w:val="clear"/>
        </w:rPr>
        <w:t xml:space="preserve"> </w:t>
      </w:r>
    </w:p>
    <w:p>
      <w:pPr>
        <w:pStyle w:val="Normal"/>
        <w:spacing w:before="0" w:after="0"/>
        <w:ind w:hanging="0"/>
        <w:contextualSpacing/>
        <w:rPr>
          <w:szCs w:val="24"/>
          <w:shd w:fill="auto" w:val="clear"/>
        </w:rPr>
      </w:pPr>
      <w:r>
        <w:rPr>
          <w:szCs w:val="24"/>
          <w:shd w:fill="auto" w:val="clear"/>
        </w:rPr>
      </w:r>
    </w:p>
    <w:p>
      <w:pPr>
        <w:pStyle w:val="Normal"/>
        <w:spacing w:before="0" w:after="0"/>
        <w:ind w:hanging="0"/>
        <w:contextualSpacing/>
        <w:rPr>
          <w:shd w:fill="auto" w:val="clear"/>
        </w:rPr>
      </w:pPr>
      <w:r>
        <w:rPr>
          <w:szCs w:val="24"/>
          <w:shd w:fill="auto" w:val="clear"/>
        </w:rPr>
        <w:t xml:space="preserve">Valeur technique (Xv) notée sur 100 et affectée d’un coefficient de pondération de 40%. </w:t>
      </w:r>
    </w:p>
    <w:p>
      <w:pPr>
        <w:pStyle w:val="Normal"/>
        <w:spacing w:before="0" w:after="0"/>
        <w:ind w:hanging="0"/>
        <w:contextualSpacing/>
        <w:rPr>
          <w:shd w:fill="auto" w:val="clear"/>
        </w:rPr>
      </w:pPr>
      <w:r>
        <w:rPr>
          <w:szCs w:val="24"/>
          <w:shd w:fill="auto" w:val="clear"/>
        </w:rPr>
        <w:t xml:space="preserve">La valeur technique devra faire apparaître les éléments suivants : </w:t>
      </w:r>
    </w:p>
    <w:p>
      <w:pPr>
        <w:pStyle w:val="Normal"/>
        <w:spacing w:before="0" w:after="0"/>
        <w:ind w:hanging="0"/>
        <w:contextualSpacing/>
        <w:rPr>
          <w:shd w:fill="auto" w:val="clear"/>
        </w:rPr>
      </w:pPr>
      <w:r>
        <w:rPr>
          <w:shd w:fill="auto" w:val="clear"/>
        </w:rPr>
      </w:r>
    </w:p>
    <w:tbl>
      <w:tblPr>
        <w:tblW w:w="9213" w:type="dxa"/>
        <w:jc w:val="left"/>
        <w:tblInd w:w="57" w:type="dxa"/>
        <w:tblLayout w:type="fixed"/>
        <w:tblCellMar>
          <w:top w:w="55" w:type="dxa"/>
          <w:left w:w="55" w:type="dxa"/>
          <w:bottom w:w="55" w:type="dxa"/>
          <w:right w:w="55" w:type="dxa"/>
        </w:tblCellMar>
        <w:tblLook w:firstRow="1" w:noVBand="1" w:lastRow="0" w:firstColumn="1" w:lastColumn="0" w:noHBand="0" w:val="04a0"/>
      </w:tblPr>
      <w:tblGrid>
        <w:gridCol w:w="1978"/>
        <w:gridCol w:w="6357"/>
        <w:gridCol w:w="878"/>
      </w:tblGrid>
      <w:tr>
        <w:trPr>
          <w:trHeight w:val="450" w:hRule="atLeast"/>
        </w:trPr>
        <w:tc>
          <w:tcPr>
            <w:tcW w:w="1978" w:type="dxa"/>
            <w:tcBorders>
              <w:top w:val="single" w:sz="2" w:space="0" w:color="000000"/>
              <w:left w:val="single" w:sz="2" w:space="0" w:color="000000"/>
              <w:bottom w:val="single" w:sz="2" w:space="0" w:color="000000"/>
            </w:tcBorders>
            <w:shd w:color="auto" w:fill="CCCCCC" w:val="clear"/>
            <w:vAlign w:val="center"/>
          </w:tcPr>
          <w:p>
            <w:pPr>
              <w:pStyle w:val="Contenudetableau"/>
              <w:widowControl w:val="false"/>
              <w:jc w:val="left"/>
              <w:rPr>
                <w:sz w:val="20"/>
              </w:rPr>
            </w:pPr>
            <w:r>
              <w:rPr>
                <w:sz w:val="20"/>
              </w:rPr>
              <w:t>Sous critère 1</w:t>
            </w:r>
          </w:p>
        </w:tc>
        <w:tc>
          <w:tcPr>
            <w:tcW w:w="6357" w:type="dxa"/>
            <w:tcBorders>
              <w:top w:val="single" w:sz="2" w:space="0" w:color="000000"/>
              <w:left w:val="single" w:sz="2" w:space="0" w:color="000000"/>
              <w:bottom w:val="single" w:sz="2" w:space="0" w:color="000000"/>
            </w:tcBorders>
            <w:vAlign w:val="center"/>
          </w:tcPr>
          <w:p>
            <w:pPr>
              <w:pStyle w:val="Normal"/>
              <w:widowControl w:val="false"/>
              <w:ind w:hanging="0"/>
              <w:rPr>
                <w:bCs/>
                <w:sz w:val="20"/>
              </w:rPr>
            </w:pPr>
            <w:r>
              <w:rPr>
                <w:bCs/>
                <w:sz w:val="20"/>
              </w:rPr>
              <w:t>La programmation détaillée des animations pressentis pour chaque jour de la durée de la manifestation conformément aux stipulations énoncées.</w:t>
            </w:r>
          </w:p>
          <w:p>
            <w:pPr>
              <w:pStyle w:val="Normal"/>
              <w:widowControl w:val="false"/>
              <w:ind w:hanging="0"/>
              <w:rPr>
                <w:bCs/>
                <w:sz w:val="20"/>
              </w:rPr>
            </w:pPr>
            <w:r>
              <w:rPr>
                <w:bCs/>
                <w:sz w:val="20"/>
              </w:rPr>
              <w:t>Le candidat devra établir son programme sur la base des demandes formulées</w:t>
            </w:r>
          </w:p>
        </w:tc>
        <w:tc>
          <w:tcPr>
            <w:tcW w:w="878" w:type="dxa"/>
            <w:tcBorders>
              <w:top w:val="single" w:sz="2" w:space="0" w:color="000000"/>
              <w:left w:val="single" w:sz="2" w:space="0" w:color="000000"/>
              <w:bottom w:val="single" w:sz="2" w:space="0" w:color="000000"/>
              <w:right w:val="single" w:sz="2" w:space="0" w:color="000000"/>
            </w:tcBorders>
            <w:vAlign w:val="center"/>
          </w:tcPr>
          <w:p>
            <w:pPr>
              <w:pStyle w:val="Contenudetableau"/>
              <w:widowControl w:val="false"/>
              <w:ind w:hanging="0"/>
              <w:jc w:val="center"/>
              <w:rPr>
                <w:sz w:val="20"/>
              </w:rPr>
            </w:pPr>
            <w:r>
              <w:rPr>
                <w:sz w:val="20"/>
              </w:rPr>
              <w:t>50 points</w:t>
            </w:r>
          </w:p>
        </w:tc>
      </w:tr>
      <w:tr>
        <w:trPr>
          <w:trHeight w:val="690" w:hRule="atLeast"/>
        </w:trPr>
        <w:tc>
          <w:tcPr>
            <w:tcW w:w="1978" w:type="dxa"/>
            <w:tcBorders>
              <w:left w:val="single" w:sz="2" w:space="0" w:color="000000"/>
              <w:bottom w:val="single" w:sz="2" w:space="0" w:color="000000"/>
            </w:tcBorders>
            <w:shd w:color="auto" w:fill="CCCCCC" w:val="clear"/>
            <w:vAlign w:val="center"/>
          </w:tcPr>
          <w:p>
            <w:pPr>
              <w:pStyle w:val="Contenudetableau"/>
              <w:widowControl w:val="false"/>
              <w:jc w:val="left"/>
              <w:rPr>
                <w:sz w:val="20"/>
              </w:rPr>
            </w:pPr>
            <w:r>
              <w:rPr>
                <w:sz w:val="20"/>
              </w:rPr>
              <w:t>Sous critère 2</w:t>
            </w:r>
          </w:p>
        </w:tc>
        <w:tc>
          <w:tcPr>
            <w:tcW w:w="6357" w:type="dxa"/>
            <w:tcBorders>
              <w:left w:val="single" w:sz="2" w:space="0" w:color="000000"/>
              <w:bottom w:val="single" w:sz="2" w:space="0" w:color="000000"/>
            </w:tcBorders>
            <w:vAlign w:val="center"/>
          </w:tcPr>
          <w:p>
            <w:pPr>
              <w:pStyle w:val="Normal"/>
              <w:widowControl w:val="false"/>
              <w:ind w:hanging="0"/>
              <w:rPr>
                <w:bCs/>
                <w:sz w:val="20"/>
              </w:rPr>
            </w:pPr>
            <w:r>
              <w:rPr>
                <w:bCs/>
                <w:sz w:val="20"/>
              </w:rPr>
              <w:t>Le candidat devra fournir tous documents relatifs à la notoriété et la carrière des artistes pressentis : press-book…</w:t>
            </w:r>
          </w:p>
        </w:tc>
        <w:tc>
          <w:tcPr>
            <w:tcW w:w="878" w:type="dxa"/>
            <w:tcBorders>
              <w:left w:val="single" w:sz="2" w:space="0" w:color="000000"/>
              <w:bottom w:val="single" w:sz="2" w:space="0" w:color="000000"/>
              <w:right w:val="single" w:sz="2" w:space="0" w:color="000000"/>
            </w:tcBorders>
            <w:vAlign w:val="center"/>
          </w:tcPr>
          <w:p>
            <w:pPr>
              <w:pStyle w:val="Contenudetableau"/>
              <w:widowControl w:val="false"/>
              <w:ind w:hanging="0"/>
              <w:jc w:val="center"/>
              <w:rPr>
                <w:sz w:val="20"/>
              </w:rPr>
            </w:pPr>
            <w:r>
              <w:rPr>
                <w:sz w:val="20"/>
              </w:rPr>
              <w:t>20 points</w:t>
            </w:r>
          </w:p>
        </w:tc>
      </w:tr>
      <w:tr>
        <w:trPr/>
        <w:tc>
          <w:tcPr>
            <w:tcW w:w="1978" w:type="dxa"/>
            <w:tcBorders>
              <w:left w:val="single" w:sz="2" w:space="0" w:color="000000"/>
              <w:bottom w:val="single" w:sz="2" w:space="0" w:color="000000"/>
            </w:tcBorders>
            <w:shd w:color="auto" w:fill="CCCCCC" w:val="clear"/>
            <w:vAlign w:val="center"/>
          </w:tcPr>
          <w:p>
            <w:pPr>
              <w:pStyle w:val="Contenudetableau"/>
              <w:widowControl w:val="false"/>
              <w:rPr>
                <w:sz w:val="20"/>
              </w:rPr>
            </w:pPr>
            <w:r>
              <w:rPr>
                <w:sz w:val="20"/>
              </w:rPr>
              <w:t>Sous critère 3</w:t>
            </w:r>
          </w:p>
        </w:tc>
        <w:tc>
          <w:tcPr>
            <w:tcW w:w="6357" w:type="dxa"/>
            <w:tcBorders>
              <w:left w:val="single" w:sz="2" w:space="0" w:color="000000"/>
              <w:bottom w:val="single" w:sz="2" w:space="0" w:color="000000"/>
            </w:tcBorders>
          </w:tcPr>
          <w:p>
            <w:pPr>
              <w:pStyle w:val="Contenudetableau"/>
              <w:widowControl w:val="false"/>
              <w:ind w:hanging="0"/>
              <w:rPr>
                <w:bCs/>
                <w:sz w:val="20"/>
              </w:rPr>
            </w:pPr>
            <w:r>
              <w:rPr>
                <w:bCs/>
                <w:sz w:val="20"/>
              </w:rPr>
              <w:t>Qualité et adéquations des moyens humains mis à disposition par le candidat pour l’exécution du marché</w:t>
            </w:r>
          </w:p>
        </w:tc>
        <w:tc>
          <w:tcPr>
            <w:tcW w:w="878" w:type="dxa"/>
            <w:tcBorders>
              <w:left w:val="single" w:sz="2" w:space="0" w:color="000000"/>
              <w:bottom w:val="single" w:sz="2" w:space="0" w:color="000000"/>
              <w:right w:val="single" w:sz="2" w:space="0" w:color="000000"/>
            </w:tcBorders>
            <w:vAlign w:val="center"/>
          </w:tcPr>
          <w:p>
            <w:pPr>
              <w:pStyle w:val="Contenudetableau"/>
              <w:widowControl w:val="false"/>
              <w:ind w:hanging="0"/>
              <w:jc w:val="center"/>
              <w:rPr>
                <w:sz w:val="20"/>
              </w:rPr>
            </w:pPr>
            <w:r>
              <w:rPr>
                <w:sz w:val="20"/>
              </w:rPr>
              <w:t>10 points</w:t>
            </w:r>
          </w:p>
        </w:tc>
      </w:tr>
      <w:tr>
        <w:trPr/>
        <w:tc>
          <w:tcPr>
            <w:tcW w:w="1978" w:type="dxa"/>
            <w:tcBorders>
              <w:left w:val="single" w:sz="2" w:space="0" w:color="000000"/>
              <w:bottom w:val="single" w:sz="2" w:space="0" w:color="000000"/>
            </w:tcBorders>
            <w:shd w:color="auto" w:fill="CCCCCC" w:val="clear"/>
            <w:vAlign w:val="center"/>
          </w:tcPr>
          <w:p>
            <w:pPr>
              <w:pStyle w:val="Contenudetableau"/>
              <w:widowControl w:val="false"/>
              <w:rPr>
                <w:sz w:val="20"/>
              </w:rPr>
            </w:pPr>
            <w:r>
              <w:rPr>
                <w:sz w:val="20"/>
              </w:rPr>
              <w:t>Sous critère 4</w:t>
            </w:r>
          </w:p>
        </w:tc>
        <w:tc>
          <w:tcPr>
            <w:tcW w:w="6357" w:type="dxa"/>
            <w:tcBorders>
              <w:left w:val="single" w:sz="2" w:space="0" w:color="000000"/>
              <w:bottom w:val="single" w:sz="2" w:space="0" w:color="000000"/>
            </w:tcBorders>
          </w:tcPr>
          <w:p>
            <w:pPr>
              <w:pStyle w:val="Contenudetableau"/>
              <w:widowControl w:val="false"/>
              <w:ind w:hanging="0"/>
              <w:rPr>
                <w:bCs/>
                <w:sz w:val="20"/>
              </w:rPr>
            </w:pPr>
            <w:r>
              <w:rPr>
                <w:bCs/>
                <w:sz w:val="20"/>
              </w:rPr>
              <w:t>Les moyens matériels techniques spécifiquement affectés à la prestation</w:t>
            </w:r>
          </w:p>
        </w:tc>
        <w:tc>
          <w:tcPr>
            <w:tcW w:w="878" w:type="dxa"/>
            <w:tcBorders>
              <w:left w:val="single" w:sz="2" w:space="0" w:color="000000"/>
              <w:bottom w:val="single" w:sz="2" w:space="0" w:color="000000"/>
              <w:right w:val="single" w:sz="2" w:space="0" w:color="000000"/>
            </w:tcBorders>
            <w:vAlign w:val="center"/>
          </w:tcPr>
          <w:p>
            <w:pPr>
              <w:pStyle w:val="Contenudetableau"/>
              <w:widowControl w:val="false"/>
              <w:ind w:hanging="0"/>
              <w:jc w:val="center"/>
              <w:rPr>
                <w:sz w:val="20"/>
              </w:rPr>
            </w:pPr>
            <w:r>
              <w:rPr>
                <w:sz w:val="20"/>
              </w:rPr>
              <w:t>20 points</w:t>
            </w:r>
          </w:p>
        </w:tc>
      </w:tr>
    </w:tbl>
    <w:p>
      <w:pPr>
        <w:pStyle w:val="Normal"/>
        <w:spacing w:before="0" w:after="0"/>
        <w:ind w:hanging="0"/>
        <w:contextualSpacing/>
        <w:jc w:val="left"/>
        <w:rPr>
          <w:szCs w:val="24"/>
        </w:rPr>
      </w:pPr>
      <w:r>
        <w:rPr>
          <w:szCs w:val="24"/>
        </w:rPr>
      </w:r>
    </w:p>
    <w:p>
      <w:pPr>
        <w:pStyle w:val="Normal"/>
        <w:spacing w:before="0" w:after="0"/>
        <w:ind w:hanging="0"/>
        <w:contextualSpacing/>
        <w:jc w:val="left"/>
        <w:rPr>
          <w:szCs w:val="24"/>
        </w:rPr>
      </w:pPr>
      <w:r>
        <w:rPr/>
        <w:t>Les notes affectées aux sous-critères de la valeur technique seront attribuées de la manière suivante :</w:t>
      </w:r>
    </w:p>
    <w:tbl>
      <w:tblPr>
        <w:tblW w:w="8046" w:type="dxa"/>
        <w:jc w:val="left"/>
        <w:tblInd w:w="829" w:type="dxa"/>
        <w:tblLayout w:type="fixed"/>
        <w:tblCellMar>
          <w:top w:w="55" w:type="dxa"/>
          <w:left w:w="55" w:type="dxa"/>
          <w:bottom w:w="55" w:type="dxa"/>
          <w:right w:w="55" w:type="dxa"/>
        </w:tblCellMar>
        <w:tblLook w:firstRow="1" w:noVBand="1" w:lastRow="0" w:firstColumn="1" w:lastColumn="0" w:noHBand="0" w:val="04a0"/>
      </w:tblPr>
      <w:tblGrid>
        <w:gridCol w:w="5336"/>
        <w:gridCol w:w="609"/>
        <w:gridCol w:w="746"/>
        <w:gridCol w:w="733"/>
        <w:gridCol w:w="622"/>
      </w:tblGrid>
      <w:tr>
        <w:trPr>
          <w:trHeight w:val="113" w:hRule="atLeast"/>
        </w:trPr>
        <w:tc>
          <w:tcPr>
            <w:tcW w:w="5336" w:type="dxa"/>
            <w:tcBorders>
              <w:top w:val="single" w:sz="2" w:space="0" w:color="000000"/>
              <w:left w:val="single" w:sz="2" w:space="0" w:color="000000"/>
              <w:bottom w:val="single" w:sz="2" w:space="0" w:color="000000"/>
            </w:tcBorders>
            <w:shd w:color="auto" w:fill="CCCCCC" w:val="clear"/>
          </w:tcPr>
          <w:p>
            <w:pPr>
              <w:pStyle w:val="Contenudetableau"/>
              <w:widowControl w:val="false"/>
              <w:ind w:hanging="0"/>
              <w:jc w:val="left"/>
              <w:rPr>
                <w:sz w:val="20"/>
                <w:shd w:fill="auto" w:val="clear"/>
              </w:rPr>
            </w:pPr>
            <w:r>
              <w:rPr>
                <w:sz w:val="20"/>
                <w:shd w:fill="auto" w:val="clear"/>
              </w:rPr>
              <w:t>Note maximale par critère</w:t>
            </w:r>
          </w:p>
        </w:tc>
        <w:tc>
          <w:tcPr>
            <w:tcW w:w="609" w:type="dxa"/>
            <w:tcBorders>
              <w:top w:val="single" w:sz="2" w:space="0" w:color="000000"/>
              <w:left w:val="single" w:sz="2" w:space="0" w:color="000000"/>
              <w:bottom w:val="single" w:sz="2" w:space="0" w:color="000000"/>
            </w:tcBorders>
            <w:shd w:color="auto" w:fill="CCCCCC" w:val="clear"/>
          </w:tcPr>
          <w:p>
            <w:pPr>
              <w:pStyle w:val="Contenudetableau"/>
              <w:widowControl w:val="false"/>
              <w:bidi w:val="1"/>
              <w:ind w:hanging="0"/>
              <w:rPr>
                <w:sz w:val="20"/>
                <w:shd w:fill="auto" w:val="clear"/>
              </w:rPr>
            </w:pPr>
            <w:r>
              <w:rPr>
                <w:sz w:val="20"/>
                <w:shd w:fill="auto" w:val="clear"/>
              </w:rPr>
              <w:t>50</w:t>
            </w:r>
          </w:p>
        </w:tc>
        <w:tc>
          <w:tcPr>
            <w:tcW w:w="746" w:type="dxa"/>
            <w:tcBorders>
              <w:top w:val="single" w:sz="2" w:space="0" w:color="000000"/>
              <w:left w:val="single" w:sz="2" w:space="0" w:color="000000"/>
              <w:bottom w:val="single" w:sz="2" w:space="0" w:color="000000"/>
            </w:tcBorders>
            <w:shd w:color="auto" w:fill="CCCCCC" w:val="clear"/>
          </w:tcPr>
          <w:p>
            <w:pPr>
              <w:pStyle w:val="Contenudetableau"/>
              <w:widowControl w:val="false"/>
              <w:bidi w:val="1"/>
              <w:rPr>
                <w:sz w:val="20"/>
                <w:shd w:fill="auto" w:val="clear"/>
              </w:rPr>
            </w:pPr>
            <w:r>
              <w:rPr/>
              <w:t>2</w:t>
            </w:r>
            <w:r>
              <w:rPr>
                <w:sz w:val="20"/>
                <w:shd w:fill="auto" w:val="clear"/>
              </w:rPr>
              <w:t>0</w:t>
            </w:r>
          </w:p>
        </w:tc>
        <w:tc>
          <w:tcPr>
            <w:tcW w:w="733" w:type="dxa"/>
            <w:tcBorders>
              <w:top w:val="single" w:sz="2" w:space="0" w:color="000000"/>
              <w:left w:val="single" w:sz="2" w:space="0" w:color="000000"/>
              <w:bottom w:val="single" w:sz="2" w:space="0" w:color="000000"/>
            </w:tcBorders>
            <w:shd w:color="auto" w:fill="CCCCCC" w:val="clear"/>
          </w:tcPr>
          <w:p>
            <w:pPr>
              <w:pStyle w:val="Contenudetableau"/>
              <w:widowControl w:val="false"/>
              <w:bidi w:val="1"/>
              <w:rPr>
                <w:sz w:val="20"/>
                <w:shd w:fill="auto" w:val="clear"/>
              </w:rPr>
            </w:pPr>
            <w:r>
              <w:rPr>
                <w:sz w:val="20"/>
                <w:shd w:fill="auto" w:val="clear"/>
              </w:rPr>
              <w:t>10</w:t>
            </w:r>
          </w:p>
        </w:tc>
        <w:tc>
          <w:tcPr>
            <w:tcW w:w="622" w:type="dxa"/>
            <w:tcBorders>
              <w:top w:val="single" w:sz="2" w:space="0" w:color="000000"/>
              <w:left w:val="single" w:sz="2" w:space="0" w:color="000000"/>
              <w:bottom w:val="single" w:sz="2" w:space="0" w:color="000000"/>
              <w:right w:val="single" w:sz="2" w:space="0" w:color="000000"/>
            </w:tcBorders>
            <w:shd w:color="auto" w:fill="CCCCCC" w:val="clear"/>
          </w:tcPr>
          <w:p>
            <w:pPr>
              <w:pStyle w:val="Contenudetableau"/>
              <w:widowControl w:val="false"/>
              <w:bidi w:val="1"/>
              <w:ind w:hanging="0"/>
              <w:rPr>
                <w:sz w:val="20"/>
                <w:shd w:fill="auto" w:val="clear"/>
              </w:rPr>
            </w:pPr>
            <w:r>
              <w:rPr>
                <w:sz w:val="20"/>
                <w:shd w:fill="auto" w:val="clear"/>
              </w:rPr>
              <w:t>20</w:t>
            </w:r>
          </w:p>
        </w:tc>
      </w:tr>
      <w:tr>
        <w:trPr/>
        <w:tc>
          <w:tcPr>
            <w:tcW w:w="5336" w:type="dxa"/>
            <w:tcBorders>
              <w:left w:val="single" w:sz="2" w:space="0" w:color="000000"/>
              <w:bottom w:val="single" w:sz="2" w:space="0" w:color="000000"/>
            </w:tcBorders>
          </w:tcPr>
          <w:p>
            <w:pPr>
              <w:pStyle w:val="Contenudetableau"/>
              <w:widowControl w:val="false"/>
              <w:ind w:hanging="0"/>
              <w:jc w:val="left"/>
              <w:rPr>
                <w:sz w:val="20"/>
                <w:shd w:fill="auto" w:val="clear"/>
              </w:rPr>
            </w:pPr>
            <w:r>
              <w:rPr>
                <w:sz w:val="20"/>
                <w:shd w:fill="auto" w:val="clear"/>
              </w:rPr>
              <w:t>Le candidat qui n’a pas fourni l’information demandée par rapport à un critère fixé</w:t>
            </w:r>
          </w:p>
        </w:tc>
        <w:tc>
          <w:tcPr>
            <w:tcW w:w="609"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0</w:t>
            </w:r>
          </w:p>
        </w:tc>
        <w:tc>
          <w:tcPr>
            <w:tcW w:w="746" w:type="dxa"/>
            <w:tcBorders>
              <w:left w:val="single" w:sz="2" w:space="0" w:color="000000"/>
              <w:bottom w:val="single" w:sz="2" w:space="0" w:color="000000"/>
            </w:tcBorders>
            <w:vAlign w:val="center"/>
          </w:tcPr>
          <w:p>
            <w:pPr>
              <w:pStyle w:val="Contenudetableau"/>
              <w:widowControl w:val="false"/>
              <w:ind w:right="-283" w:hanging="0"/>
              <w:jc w:val="center"/>
              <w:rPr>
                <w:sz w:val="20"/>
                <w:shd w:fill="auto" w:val="clear"/>
              </w:rPr>
            </w:pPr>
            <w:r>
              <w:rPr>
                <w:sz w:val="20"/>
                <w:shd w:fill="auto" w:val="clear"/>
              </w:rPr>
              <w:t>0</w:t>
            </w:r>
          </w:p>
        </w:tc>
        <w:tc>
          <w:tcPr>
            <w:tcW w:w="733" w:type="dxa"/>
            <w:tcBorders>
              <w:left w:val="single" w:sz="2" w:space="0" w:color="000000"/>
              <w:bottom w:val="single" w:sz="2" w:space="0" w:color="000000"/>
            </w:tcBorders>
            <w:vAlign w:val="center"/>
          </w:tcPr>
          <w:p>
            <w:pPr>
              <w:pStyle w:val="Contenudetableau"/>
              <w:widowControl w:val="false"/>
              <w:ind w:right="-283" w:hanging="0"/>
              <w:jc w:val="center"/>
              <w:rPr>
                <w:sz w:val="20"/>
                <w:shd w:fill="auto" w:val="clear"/>
              </w:rPr>
            </w:pPr>
            <w:r>
              <w:rPr>
                <w:sz w:val="20"/>
                <w:shd w:fill="auto" w:val="clear"/>
              </w:rPr>
              <w:t>0</w:t>
            </w:r>
          </w:p>
        </w:tc>
        <w:tc>
          <w:tcPr>
            <w:tcW w:w="622" w:type="dxa"/>
            <w:tcBorders>
              <w:left w:val="single" w:sz="2" w:space="0" w:color="000000"/>
              <w:bottom w:val="single" w:sz="2" w:space="0" w:color="000000"/>
              <w:right w:val="single" w:sz="2" w:space="0" w:color="000000"/>
            </w:tcBorders>
            <w:vAlign w:val="center"/>
          </w:tcPr>
          <w:p>
            <w:pPr>
              <w:pStyle w:val="Contenudetableau"/>
              <w:widowControl w:val="false"/>
              <w:ind w:right="-283" w:hanging="0"/>
              <w:jc w:val="center"/>
              <w:rPr>
                <w:sz w:val="20"/>
                <w:shd w:fill="auto" w:val="clear"/>
              </w:rPr>
            </w:pPr>
            <w:r>
              <w:rPr>
                <w:sz w:val="20"/>
                <w:shd w:fill="auto" w:val="clear"/>
              </w:rPr>
              <w:t>0</w:t>
            </w:r>
          </w:p>
        </w:tc>
      </w:tr>
      <w:tr>
        <w:trPr/>
        <w:tc>
          <w:tcPr>
            <w:tcW w:w="5336" w:type="dxa"/>
            <w:tcBorders>
              <w:left w:val="single" w:sz="2" w:space="0" w:color="000000"/>
              <w:bottom w:val="single" w:sz="2" w:space="0" w:color="000000"/>
            </w:tcBorders>
          </w:tcPr>
          <w:p>
            <w:pPr>
              <w:pStyle w:val="Contenudetableau"/>
              <w:widowControl w:val="false"/>
              <w:ind w:hanging="0"/>
              <w:rPr>
                <w:color w:val="000000"/>
                <w:shd w:fill="auto" w:val="clear"/>
              </w:rPr>
            </w:pPr>
            <w:r>
              <w:rPr>
                <w:color w:val="000000" w:themeColor="text1"/>
                <w:sz w:val="20"/>
                <w:shd w:fill="auto" w:val="clear"/>
              </w:rPr>
              <w:t xml:space="preserve">Le candidat qui a fourni l’information ou le document demandé par rapport à un critère fixé, mais dont le contenu est jugé </w:t>
            </w:r>
            <w:r>
              <w:rPr>
                <w:b/>
                <w:bCs/>
                <w:i/>
                <w:iCs/>
                <w:color w:val="000000" w:themeColor="text1"/>
                <w:sz w:val="20"/>
                <w:shd w:fill="auto" w:val="clear"/>
              </w:rPr>
              <w:t>insatisfaisant</w:t>
            </w:r>
          </w:p>
        </w:tc>
        <w:tc>
          <w:tcPr>
            <w:tcW w:w="609"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12,5</w:t>
            </w:r>
          </w:p>
        </w:tc>
        <w:tc>
          <w:tcPr>
            <w:tcW w:w="746"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5</w:t>
            </w:r>
          </w:p>
        </w:tc>
        <w:tc>
          <w:tcPr>
            <w:tcW w:w="733"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2,5</w:t>
            </w:r>
          </w:p>
        </w:tc>
        <w:tc>
          <w:tcPr>
            <w:tcW w:w="622" w:type="dxa"/>
            <w:tcBorders>
              <w:left w:val="single" w:sz="2" w:space="0" w:color="000000"/>
              <w:bottom w:val="single" w:sz="2" w:space="0" w:color="000000"/>
              <w:right w:val="single" w:sz="2" w:space="0" w:color="000000"/>
            </w:tcBorders>
            <w:vAlign w:val="center"/>
          </w:tcPr>
          <w:p>
            <w:pPr>
              <w:pStyle w:val="Contenudetableau"/>
              <w:widowControl w:val="false"/>
              <w:ind w:hanging="0"/>
              <w:jc w:val="center"/>
              <w:rPr>
                <w:sz w:val="20"/>
                <w:shd w:fill="auto" w:val="clear"/>
              </w:rPr>
            </w:pPr>
            <w:r>
              <w:rPr>
                <w:sz w:val="20"/>
                <w:shd w:fill="auto" w:val="clear"/>
              </w:rPr>
              <w:t>5</w:t>
            </w:r>
          </w:p>
        </w:tc>
      </w:tr>
      <w:tr>
        <w:trPr/>
        <w:tc>
          <w:tcPr>
            <w:tcW w:w="5336" w:type="dxa"/>
            <w:tcBorders>
              <w:left w:val="single" w:sz="2" w:space="0" w:color="000000"/>
              <w:bottom w:val="single" w:sz="2" w:space="0" w:color="000000"/>
            </w:tcBorders>
          </w:tcPr>
          <w:p>
            <w:pPr>
              <w:pStyle w:val="Contenudetableau"/>
              <w:widowControl w:val="false"/>
              <w:ind w:hanging="0"/>
              <w:rPr>
                <w:color w:val="000000"/>
                <w:shd w:fill="auto" w:val="clear"/>
              </w:rPr>
            </w:pPr>
            <w:r>
              <w:rPr>
                <w:color w:val="000000" w:themeColor="text1"/>
                <w:sz w:val="20"/>
                <w:shd w:fill="auto" w:val="clear"/>
              </w:rPr>
              <w:t xml:space="preserve">Le candidat qui a fourni l’information ou le document demandé par rapport à un critère fixé, mais dont le contenu est jugé </w:t>
            </w:r>
            <w:r>
              <w:rPr>
                <w:b/>
                <w:bCs/>
                <w:i/>
                <w:iCs/>
                <w:color w:val="000000" w:themeColor="text1"/>
                <w:sz w:val="20"/>
                <w:shd w:fill="auto" w:val="clear"/>
              </w:rPr>
              <w:t>moyennement satisfaisant</w:t>
            </w:r>
          </w:p>
        </w:tc>
        <w:tc>
          <w:tcPr>
            <w:tcW w:w="609"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25</w:t>
            </w:r>
          </w:p>
        </w:tc>
        <w:tc>
          <w:tcPr>
            <w:tcW w:w="746"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10</w:t>
            </w:r>
          </w:p>
        </w:tc>
        <w:tc>
          <w:tcPr>
            <w:tcW w:w="733"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5</w:t>
            </w:r>
          </w:p>
        </w:tc>
        <w:tc>
          <w:tcPr>
            <w:tcW w:w="622" w:type="dxa"/>
            <w:tcBorders>
              <w:left w:val="single" w:sz="2" w:space="0" w:color="000000"/>
              <w:bottom w:val="single" w:sz="2" w:space="0" w:color="000000"/>
              <w:right w:val="single" w:sz="2" w:space="0" w:color="000000"/>
            </w:tcBorders>
            <w:vAlign w:val="center"/>
          </w:tcPr>
          <w:p>
            <w:pPr>
              <w:pStyle w:val="Contenudetableau"/>
              <w:widowControl w:val="false"/>
              <w:ind w:hanging="0"/>
              <w:jc w:val="center"/>
              <w:rPr>
                <w:sz w:val="20"/>
                <w:shd w:fill="auto" w:val="clear"/>
              </w:rPr>
            </w:pPr>
            <w:r>
              <w:rPr>
                <w:sz w:val="20"/>
                <w:shd w:fill="auto" w:val="clear"/>
              </w:rPr>
              <w:t>10</w:t>
            </w:r>
          </w:p>
        </w:tc>
      </w:tr>
      <w:tr>
        <w:trPr/>
        <w:tc>
          <w:tcPr>
            <w:tcW w:w="5336" w:type="dxa"/>
            <w:tcBorders>
              <w:left w:val="single" w:sz="2" w:space="0" w:color="000000"/>
              <w:bottom w:val="single" w:sz="2" w:space="0" w:color="000000"/>
            </w:tcBorders>
          </w:tcPr>
          <w:p>
            <w:pPr>
              <w:pStyle w:val="Contenudetableau"/>
              <w:widowControl w:val="false"/>
              <w:ind w:hanging="0"/>
              <w:rPr>
                <w:color w:val="000000"/>
                <w:shd w:fill="auto" w:val="clear"/>
              </w:rPr>
            </w:pPr>
            <w:r>
              <w:rPr>
                <w:color w:val="000000" w:themeColor="text1"/>
                <w:sz w:val="20"/>
                <w:shd w:fill="auto" w:val="clear"/>
              </w:rPr>
              <w:t xml:space="preserve">Le candidat qui a fourni l’information ou le document demandé par rapport à un critère fixé, et dont le contenu est jugé </w:t>
            </w:r>
            <w:r>
              <w:rPr>
                <w:b/>
                <w:bCs/>
                <w:i/>
                <w:iCs/>
                <w:color w:val="000000" w:themeColor="text1"/>
                <w:sz w:val="20"/>
                <w:shd w:fill="auto" w:val="clear"/>
              </w:rPr>
              <w:t>satisfaisant</w:t>
            </w:r>
          </w:p>
        </w:tc>
        <w:tc>
          <w:tcPr>
            <w:tcW w:w="609"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37,5</w:t>
            </w:r>
          </w:p>
        </w:tc>
        <w:tc>
          <w:tcPr>
            <w:tcW w:w="746"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15</w:t>
            </w:r>
          </w:p>
        </w:tc>
        <w:tc>
          <w:tcPr>
            <w:tcW w:w="733"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7,5</w:t>
            </w:r>
          </w:p>
        </w:tc>
        <w:tc>
          <w:tcPr>
            <w:tcW w:w="622" w:type="dxa"/>
            <w:tcBorders>
              <w:left w:val="single" w:sz="2" w:space="0" w:color="000000"/>
              <w:bottom w:val="single" w:sz="2" w:space="0" w:color="000000"/>
              <w:right w:val="single" w:sz="2" w:space="0" w:color="000000"/>
            </w:tcBorders>
            <w:vAlign w:val="center"/>
          </w:tcPr>
          <w:p>
            <w:pPr>
              <w:pStyle w:val="Contenudetableau"/>
              <w:widowControl w:val="false"/>
              <w:ind w:hanging="0"/>
              <w:jc w:val="center"/>
              <w:rPr>
                <w:sz w:val="20"/>
                <w:shd w:fill="auto" w:val="clear"/>
              </w:rPr>
            </w:pPr>
            <w:r>
              <w:rPr>
                <w:sz w:val="20"/>
                <w:shd w:fill="auto" w:val="clear"/>
              </w:rPr>
              <w:t>15</w:t>
            </w:r>
          </w:p>
        </w:tc>
      </w:tr>
      <w:tr>
        <w:trPr/>
        <w:tc>
          <w:tcPr>
            <w:tcW w:w="5336" w:type="dxa"/>
            <w:tcBorders>
              <w:left w:val="single" w:sz="2" w:space="0" w:color="000000"/>
              <w:bottom w:val="single" w:sz="2" w:space="0" w:color="000000"/>
            </w:tcBorders>
          </w:tcPr>
          <w:p>
            <w:pPr>
              <w:pStyle w:val="Contenudetableau"/>
              <w:widowControl w:val="false"/>
              <w:ind w:hanging="0"/>
              <w:rPr>
                <w:color w:val="000000"/>
                <w:shd w:fill="auto" w:val="clear"/>
              </w:rPr>
            </w:pPr>
            <w:r>
              <w:rPr>
                <w:color w:val="000000" w:themeColor="text1"/>
                <w:sz w:val="20"/>
                <w:shd w:fill="auto" w:val="clear"/>
              </w:rPr>
              <w:t xml:space="preserve">Le candidat qui a fourni l’information ou le document demandé par rapport à un critère fixé, et dont le contenu est jugé </w:t>
            </w:r>
            <w:r>
              <w:rPr>
                <w:b/>
                <w:bCs/>
                <w:i/>
                <w:iCs/>
                <w:color w:val="000000" w:themeColor="text1"/>
                <w:sz w:val="20"/>
                <w:shd w:fill="auto" w:val="clear"/>
              </w:rPr>
              <w:t>très satisfaisant</w:t>
            </w:r>
          </w:p>
        </w:tc>
        <w:tc>
          <w:tcPr>
            <w:tcW w:w="609"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50</w:t>
            </w:r>
          </w:p>
        </w:tc>
        <w:tc>
          <w:tcPr>
            <w:tcW w:w="746"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20</w:t>
            </w:r>
          </w:p>
        </w:tc>
        <w:tc>
          <w:tcPr>
            <w:tcW w:w="733" w:type="dxa"/>
            <w:tcBorders>
              <w:left w:val="single" w:sz="2" w:space="0" w:color="000000"/>
              <w:bottom w:val="single" w:sz="2" w:space="0" w:color="000000"/>
            </w:tcBorders>
            <w:vAlign w:val="center"/>
          </w:tcPr>
          <w:p>
            <w:pPr>
              <w:pStyle w:val="Contenudetableau"/>
              <w:widowControl w:val="false"/>
              <w:ind w:hanging="0"/>
              <w:jc w:val="center"/>
              <w:rPr>
                <w:sz w:val="20"/>
                <w:shd w:fill="auto" w:val="clear"/>
              </w:rPr>
            </w:pPr>
            <w:r>
              <w:rPr>
                <w:sz w:val="20"/>
                <w:shd w:fill="auto" w:val="clear"/>
              </w:rPr>
              <w:t>10</w:t>
            </w:r>
          </w:p>
        </w:tc>
        <w:tc>
          <w:tcPr>
            <w:tcW w:w="622" w:type="dxa"/>
            <w:tcBorders>
              <w:left w:val="single" w:sz="2" w:space="0" w:color="000000"/>
              <w:bottom w:val="single" w:sz="2" w:space="0" w:color="000000"/>
              <w:right w:val="single" w:sz="2" w:space="0" w:color="000000"/>
            </w:tcBorders>
            <w:vAlign w:val="center"/>
          </w:tcPr>
          <w:p>
            <w:pPr>
              <w:pStyle w:val="Contenudetableau"/>
              <w:widowControl w:val="false"/>
              <w:ind w:hanging="0"/>
              <w:jc w:val="center"/>
              <w:rPr>
                <w:sz w:val="20"/>
                <w:shd w:fill="auto" w:val="clear"/>
              </w:rPr>
            </w:pPr>
            <w:r>
              <w:rPr>
                <w:sz w:val="20"/>
                <w:shd w:fill="auto" w:val="clear"/>
              </w:rPr>
              <w:t>20</w:t>
            </w:r>
          </w:p>
        </w:tc>
      </w:tr>
    </w:tbl>
    <w:p>
      <w:pPr>
        <w:pStyle w:val="Normal"/>
        <w:spacing w:before="0" w:after="0"/>
        <w:ind w:hanging="0"/>
        <w:contextualSpacing/>
        <w:jc w:val="left"/>
        <w:rPr>
          <w:szCs w:val="24"/>
          <w:shd w:fill="auto" w:val="clear"/>
        </w:rPr>
      </w:pPr>
      <w:r>
        <w:rPr>
          <w:szCs w:val="24"/>
          <w:shd w:fill="auto" w:val="clear"/>
        </w:rPr>
      </w:r>
    </w:p>
    <w:p>
      <w:pPr>
        <w:pStyle w:val="Normal"/>
        <w:spacing w:before="0" w:after="0"/>
        <w:ind w:hanging="0"/>
        <w:contextualSpacing/>
        <w:jc w:val="left"/>
        <w:rPr>
          <w:shd w:fill="auto" w:val="clear"/>
        </w:rPr>
      </w:pPr>
      <w:r>
        <w:rPr>
          <w:b/>
          <w:bCs/>
          <w:szCs w:val="24"/>
          <w:shd w:fill="auto" w:val="clear"/>
        </w:rPr>
        <w:t xml:space="preserve">2. </w:t>
      </w:r>
      <w:r>
        <w:rPr>
          <w:b/>
          <w:bCs/>
          <w:szCs w:val="24"/>
          <w:u w:val="single"/>
          <w:shd w:fill="auto" w:val="clear"/>
        </w:rPr>
        <w:t>Le prix des prestations</w:t>
      </w:r>
      <w:r>
        <w:rPr>
          <w:szCs w:val="24"/>
          <w:shd w:fill="auto" w:val="clear"/>
        </w:rPr>
        <w:t xml:space="preserve"> 6</w:t>
      </w:r>
      <w:r>
        <w:rPr>
          <w:b/>
          <w:bCs/>
          <w:szCs w:val="24"/>
          <w:shd w:fill="auto" w:val="clear"/>
        </w:rPr>
        <w:t xml:space="preserve">0% </w:t>
      </w:r>
    </w:p>
    <w:p>
      <w:pPr>
        <w:pStyle w:val="Normal"/>
        <w:spacing w:before="0" w:after="0"/>
        <w:ind w:hanging="0"/>
        <w:contextualSpacing/>
        <w:jc w:val="left"/>
        <w:rPr>
          <w:szCs w:val="24"/>
          <w:shd w:fill="auto" w:val="clear"/>
        </w:rPr>
      </w:pPr>
      <w:r>
        <w:rPr>
          <w:szCs w:val="24"/>
          <w:shd w:fill="auto" w:val="clear"/>
        </w:rPr>
      </w:r>
    </w:p>
    <w:p>
      <w:pPr>
        <w:pStyle w:val="Normal"/>
        <w:spacing w:before="0" w:after="0"/>
        <w:ind w:hanging="0"/>
        <w:contextualSpacing/>
        <w:jc w:val="left"/>
        <w:rPr>
          <w:shd w:fill="auto" w:val="clear"/>
        </w:rPr>
      </w:pPr>
      <w:r>
        <w:rPr>
          <w:szCs w:val="24"/>
          <w:shd w:fill="auto" w:val="clear"/>
        </w:rPr>
        <w:t xml:space="preserve">Prix des prestations (Xp), noté sur 100 et affecté d’un coefficient de pondération de 60%. </w:t>
      </w:r>
    </w:p>
    <w:p>
      <w:pPr>
        <w:pStyle w:val="Normal"/>
        <w:spacing w:before="0" w:after="0"/>
        <w:ind w:hanging="0"/>
        <w:contextualSpacing/>
        <w:jc w:val="left"/>
        <w:rPr>
          <w:shd w:fill="auto" w:val="clear"/>
        </w:rPr>
      </w:pPr>
      <w:r>
        <w:rPr>
          <w:szCs w:val="24"/>
          <w:shd w:fill="auto" w:val="clear"/>
        </w:rPr>
        <w:t xml:space="preserve">La pondération sera appliquée selon les modes de calcul ci-dessous : </w:t>
      </w:r>
    </w:p>
    <w:p>
      <w:pPr>
        <w:pStyle w:val="Normal"/>
        <w:spacing w:before="0" w:after="0"/>
        <w:ind w:hanging="0"/>
        <w:contextualSpacing/>
        <w:jc w:val="left"/>
        <w:rPr>
          <w:shd w:fill="auto" w:val="clear"/>
        </w:rPr>
      </w:pPr>
      <w:r>
        <w:rPr>
          <w:szCs w:val="24"/>
          <w:shd w:fill="auto" w:val="clear"/>
        </w:rPr>
        <w:t xml:space="preserve">Pour Xp le nombre de points attribués, </w:t>
      </w:r>
    </w:p>
    <w:p>
      <w:pPr>
        <w:pStyle w:val="Normal"/>
        <w:spacing w:before="0" w:after="0"/>
        <w:ind w:hanging="0"/>
        <w:contextualSpacing/>
        <w:jc w:val="left"/>
        <w:rPr>
          <w:shd w:fill="auto" w:val="clear"/>
        </w:rPr>
      </w:pPr>
      <w:r>
        <w:rPr>
          <w:szCs w:val="24"/>
          <w:shd w:fill="auto" w:val="clear"/>
        </w:rPr>
        <w:t xml:space="preserve">On a Xp = 100*P0/P Avec pour P le montant de l’offre considérée et P0 le montant de l’offre la plus basse. </w:t>
      </w:r>
    </w:p>
    <w:p>
      <w:pPr>
        <w:pStyle w:val="Normal"/>
        <w:spacing w:before="0" w:after="0"/>
        <w:ind w:hanging="0"/>
        <w:contextualSpacing/>
        <w:rPr>
          <w:sz w:val="28"/>
          <w:szCs w:val="28"/>
          <w:shd w:fill="auto" w:val="clear"/>
        </w:rPr>
      </w:pPr>
      <w:r>
        <w:rPr>
          <w:sz w:val="28"/>
          <w:szCs w:val="28"/>
          <w:shd w:fill="auto" w:val="clear"/>
        </w:rPr>
      </w:r>
    </w:p>
    <w:tbl>
      <w:tblPr>
        <w:tblW w:w="9213" w:type="dxa"/>
        <w:jc w:val="left"/>
        <w:tblInd w:w="57" w:type="dxa"/>
        <w:tblLayout w:type="fixed"/>
        <w:tblCellMar>
          <w:top w:w="55" w:type="dxa"/>
          <w:left w:w="55" w:type="dxa"/>
          <w:bottom w:w="55" w:type="dxa"/>
          <w:right w:w="55" w:type="dxa"/>
        </w:tblCellMar>
        <w:tblLook w:firstRow="1" w:noVBand="1" w:lastRow="0" w:firstColumn="1" w:lastColumn="0" w:noHBand="0" w:val="04a0"/>
      </w:tblPr>
      <w:tblGrid>
        <w:gridCol w:w="9213"/>
      </w:tblGrid>
      <w:tr>
        <w:trPr/>
        <w:tc>
          <w:tcPr>
            <w:tcW w:w="9213" w:type="dxa"/>
            <w:tcBorders>
              <w:top w:val="single" w:sz="2" w:space="0" w:color="000000"/>
              <w:left w:val="single" w:sz="2" w:space="0" w:color="000000"/>
              <w:bottom w:val="single" w:sz="2" w:space="0" w:color="000000"/>
              <w:right w:val="single" w:sz="2" w:space="0" w:color="000000"/>
            </w:tcBorders>
          </w:tcPr>
          <w:p>
            <w:pPr>
              <w:pStyle w:val="Contenudetableau"/>
              <w:widowControl w:val="false"/>
              <w:jc w:val="center"/>
              <w:rPr>
                <w:b/>
                <w:b/>
                <w:bCs/>
                <w:shd w:fill="auto" w:val="clear"/>
              </w:rPr>
            </w:pPr>
            <w:r>
              <w:rPr>
                <w:b/>
                <w:bCs/>
                <w:shd w:fill="auto" w:val="clear"/>
              </w:rPr>
              <w:t>Ce qui donne comme note final Xt</w:t>
            </w:r>
          </w:p>
          <w:p>
            <w:pPr>
              <w:pStyle w:val="Contenudetableau"/>
              <w:widowControl w:val="false"/>
              <w:jc w:val="center"/>
              <w:rPr>
                <w:b/>
                <w:b/>
                <w:bCs/>
                <w:shd w:fill="auto" w:val="clear"/>
              </w:rPr>
            </w:pPr>
            <w:r>
              <w:rPr>
                <w:b/>
                <w:bCs/>
                <w:shd w:fill="auto" w:val="clear"/>
              </w:rPr>
              <w:t>Soit Xt = (0,60 x Xv) + (0,60 x Xp)</w:t>
            </w:r>
          </w:p>
        </w:tc>
      </w:tr>
    </w:tbl>
    <w:p>
      <w:pPr>
        <w:pStyle w:val="Normal"/>
        <w:spacing w:before="0" w:after="0"/>
        <w:ind w:hanging="0"/>
        <w:contextualSpacing/>
        <w:rPr>
          <w:sz w:val="28"/>
          <w:szCs w:val="28"/>
          <w:shd w:fill="auto" w:val="clear"/>
        </w:rPr>
      </w:pPr>
      <w:r>
        <w:rPr>
          <w:sz w:val="28"/>
          <w:szCs w:val="28"/>
          <w:shd w:fill="auto" w:val="clear"/>
        </w:rPr>
      </w:r>
    </w:p>
    <w:p>
      <w:pPr>
        <w:pStyle w:val="Normal"/>
        <w:spacing w:before="0" w:after="0"/>
        <w:ind w:hanging="0"/>
        <w:contextualSpacing/>
        <w:jc w:val="center"/>
        <w:rPr>
          <w:shd w:fill="auto" w:val="clear"/>
        </w:rPr>
      </w:pPr>
      <w:r>
        <w:rPr>
          <w:szCs w:val="24"/>
          <w:shd w:fill="auto" w:val="clear"/>
        </w:rPr>
        <w:t xml:space="preserve">Cette note globale déterminera un classement des offres par ordre décroissant. </w:t>
      </w:r>
    </w:p>
    <w:p>
      <w:pPr>
        <w:pStyle w:val="Normal"/>
        <w:spacing w:before="0" w:after="0"/>
        <w:ind w:hanging="0"/>
        <w:contextualSpacing/>
        <w:rPr>
          <w:color w:val="auto"/>
          <w:sz w:val="28"/>
          <w:szCs w:val="28"/>
          <w:shd w:fill="auto" w:val="clear"/>
        </w:rPr>
      </w:pPr>
      <w:r>
        <w:rPr>
          <w:color w:val="000000"/>
          <w:sz w:val="28"/>
          <w:szCs w:val="28"/>
          <w:shd w:fill="auto" w:val="clear"/>
        </w:rPr>
      </w:r>
    </w:p>
    <w:p>
      <w:pPr>
        <w:pStyle w:val="Normal"/>
        <w:spacing w:before="0" w:after="0"/>
        <w:ind w:hanging="0"/>
        <w:contextualSpacing/>
        <w:jc w:val="left"/>
        <w:rPr>
          <w:shd w:fill="auto" w:val="clear"/>
        </w:rPr>
      </w:pPr>
      <w:r>
        <w:rPr>
          <w:b/>
          <w:bCs/>
          <w:szCs w:val="24"/>
          <w:shd w:fill="auto" w:val="clear"/>
        </w:rPr>
        <w:t xml:space="preserve">3. </w:t>
      </w:r>
      <w:r>
        <w:rPr>
          <w:b/>
          <w:bCs/>
          <w:szCs w:val="24"/>
          <w:u w:val="single"/>
          <w:shd w:fill="auto" w:val="clear"/>
        </w:rPr>
        <w:t>Attribution</w:t>
      </w:r>
      <w:r>
        <w:rPr>
          <w:b/>
          <w:bCs/>
          <w:szCs w:val="24"/>
          <w:shd w:fill="auto" w:val="clear"/>
        </w:rPr>
        <w:t xml:space="preserve"> </w:t>
      </w:r>
    </w:p>
    <w:p>
      <w:pPr>
        <w:pStyle w:val="Normal"/>
        <w:spacing w:before="0" w:after="0"/>
        <w:ind w:hanging="0"/>
        <w:contextualSpacing/>
        <w:jc w:val="left"/>
        <w:rPr>
          <w:b/>
          <w:b/>
          <w:bCs/>
          <w:szCs w:val="24"/>
          <w:shd w:fill="auto" w:val="clear"/>
        </w:rPr>
      </w:pPr>
      <w:r>
        <w:rPr>
          <w:b/>
          <w:bCs/>
          <w:szCs w:val="24"/>
          <w:shd w:fill="auto" w:val="clear"/>
        </w:rPr>
      </w:r>
    </w:p>
    <w:p>
      <w:pPr>
        <w:pStyle w:val="ListParagraph"/>
        <w:spacing w:lineRule="auto" w:line="240" w:before="0" w:after="0"/>
        <w:ind w:left="0" w:hanging="0"/>
        <w:contextualSpacing/>
        <w:jc w:val="both"/>
        <w:rPr>
          <w:color w:val="auto"/>
          <w:highlight w:val="none"/>
          <w:shd w:fill="auto" w:val="clear"/>
        </w:rPr>
      </w:pPr>
      <w:r>
        <w:rPr>
          <w:rFonts w:ascii="Times New Roman" w:hAnsi="Times New Roman"/>
          <w:color w:val="000000"/>
          <w:sz w:val="24"/>
          <w:szCs w:val="24"/>
          <w:shd w:fill="auto" w:val="clear"/>
        </w:rPr>
        <w:t xml:space="preserve">Chaque lot fera l’objet d’une attribution à un prestataire, afin de répondre à l’ensemble des besoins de la collectivité, selon le classement résultant de l’analyse des offres. Sous réserve d’un nombre suffisant d’offres, le nombre maximum de prestataires par lot est fixé tel que suit : </w:t>
      </w:r>
    </w:p>
    <w:p>
      <w:pPr>
        <w:pStyle w:val="Western"/>
        <w:numPr>
          <w:ilvl w:val="0"/>
          <w:numId w:val="4"/>
        </w:numPr>
        <w:spacing w:beforeAutospacing="0" w:before="280" w:after="0"/>
        <w:jc w:val="both"/>
        <w:rPr>
          <w:color w:val="auto"/>
          <w:highlight w:val="none"/>
          <w:shd w:fill="auto" w:val="clear"/>
        </w:rPr>
      </w:pPr>
      <w:r>
        <w:rPr>
          <w:rFonts w:cs="Times New Roman" w:ascii="Times New Roman" w:hAnsi="Times New Roman"/>
          <w:b/>
          <w:bCs/>
          <w:color w:val="000000"/>
          <w:sz w:val="24"/>
          <w:szCs w:val="24"/>
          <w:shd w:fill="auto" w:val="clear"/>
        </w:rPr>
        <w:t>lot n°1 : Animations du centre-ville de Saint-Paul,</w:t>
      </w:r>
    </w:p>
    <w:p>
      <w:pPr>
        <w:pStyle w:val="Western"/>
        <w:numPr>
          <w:ilvl w:val="0"/>
          <w:numId w:val="4"/>
        </w:numPr>
        <w:spacing w:beforeAutospacing="0" w:before="0" w:after="0"/>
        <w:jc w:val="both"/>
        <w:rPr>
          <w:color w:val="auto"/>
          <w:highlight w:val="none"/>
          <w:shd w:fill="auto" w:val="clear"/>
        </w:rPr>
      </w:pPr>
      <w:r>
        <w:rPr>
          <w:rFonts w:cs="Times New Roman" w:ascii="Times New Roman" w:hAnsi="Times New Roman"/>
          <w:b/>
          <w:bCs/>
          <w:color w:val="000000"/>
          <w:sz w:val="24"/>
          <w:szCs w:val="24"/>
          <w:shd w:fill="auto" w:val="clear"/>
          <w:lang w:val="fr-FR"/>
        </w:rPr>
        <w:t>lot n°2 : Animations du centre-ville de Saint-Gilles-les-Bains</w:t>
      </w:r>
      <w:r>
        <w:rPr>
          <w:rFonts w:cs="Times New Roman"/>
          <w:b/>
          <w:bCs/>
          <w:color w:val="000000"/>
          <w:shd w:fill="auto" w:val="clear"/>
          <w:lang w:val="fr-FR"/>
        </w:rPr>
        <w:t>,</w:t>
      </w:r>
    </w:p>
    <w:p>
      <w:pPr>
        <w:pStyle w:val="Western"/>
        <w:numPr>
          <w:ilvl w:val="0"/>
          <w:numId w:val="0"/>
        </w:numPr>
        <w:spacing w:beforeAutospacing="0" w:before="0" w:after="0"/>
        <w:ind w:left="720" w:hanging="0"/>
        <w:jc w:val="both"/>
        <w:rPr>
          <w:rFonts w:ascii="Times New Roman" w:hAnsi="Times New Roman" w:cs="Times New Roman"/>
          <w:color w:val="auto"/>
          <w:highlight w:val="none"/>
          <w:shd w:fill="auto" w:val="clear"/>
        </w:rPr>
      </w:pPr>
      <w:r>
        <w:rPr>
          <w:rFonts w:cs="Times New Roman" w:ascii="Times New Roman" w:hAnsi="Times New Roman"/>
          <w:color w:val="000000"/>
          <w:shd w:fill="auto" w:val="clear"/>
        </w:rPr>
      </w:r>
    </w:p>
    <w:p>
      <w:pPr>
        <w:pStyle w:val="ListParagraph"/>
        <w:spacing w:lineRule="auto" w:line="240" w:before="0" w:after="0"/>
        <w:ind w:left="0" w:hanging="0"/>
        <w:contextualSpacing/>
        <w:jc w:val="both"/>
        <w:rPr>
          <w:color w:val="auto"/>
          <w:highlight w:val="none"/>
          <w:shd w:fill="auto" w:val="clear"/>
        </w:rPr>
      </w:pPr>
      <w:r>
        <w:rPr>
          <w:rFonts w:ascii="Times New Roman" w:hAnsi="Times New Roman"/>
          <w:color w:val="000000"/>
          <w:sz w:val="24"/>
          <w:szCs w:val="24"/>
          <w:shd w:fill="auto" w:val="clear"/>
        </w:rPr>
        <w:t>Le présent marché donnera lieu à l’émission de bons de commande, répartis de manière équitable entre les titulaires de chaque lot. L’équilibre des commandes auprès des titulaires d’un même lot sera constaté au regard du volume d’activités acheté à chacun (comptabilisation par plages de journées d’intervention). Cette analyse pourra être pondérée dans le cas notamment de contraintes spécifiques énoncées par le prestataire et ne lui permettant pas de répondre pleinement au besoin exprimé par la collectivité.</w:t>
      </w:r>
    </w:p>
    <w:p>
      <w:pPr>
        <w:pStyle w:val="ListParagraph"/>
        <w:spacing w:lineRule="auto" w:line="240" w:before="0" w:after="0"/>
        <w:ind w:left="0" w:hanging="0"/>
        <w:contextualSpacing/>
        <w:jc w:val="both"/>
        <w:rPr>
          <w:rFonts w:ascii="Times New Roman" w:hAnsi="Times New Roman"/>
          <w:sz w:val="24"/>
          <w:szCs w:val="24"/>
        </w:rPr>
      </w:pPr>
      <w:r>
        <w:rPr>
          <w:rFonts w:ascii="Times New Roman" w:hAnsi="Times New Roman"/>
          <w:sz w:val="24"/>
          <w:szCs w:val="24"/>
        </w:rPr>
      </w:r>
    </w:p>
    <w:p>
      <w:pPr>
        <w:pStyle w:val="ListParagraph"/>
        <w:spacing w:lineRule="auto" w:line="240" w:before="0" w:after="0"/>
        <w:ind w:left="0" w:hanging="0"/>
        <w:contextualSpacing/>
        <w:jc w:val="both"/>
        <w:rPr>
          <w:color w:val="auto"/>
          <w:highlight w:val="none"/>
          <w:shd w:fill="auto" w:val="clear"/>
        </w:rPr>
      </w:pPr>
      <w:r>
        <w:rPr>
          <w:rFonts w:ascii="Times New Roman" w:hAnsi="Times New Roman"/>
          <w:color w:val="000000"/>
          <w:sz w:val="24"/>
          <w:szCs w:val="24"/>
          <w:shd w:fill="auto" w:val="clear"/>
        </w:rPr>
        <w:t xml:space="preserve"> </w:t>
      </w:r>
    </w:p>
    <w:p>
      <w:pPr>
        <w:pStyle w:val="Titre2"/>
        <w:numPr>
          <w:ilvl w:val="0"/>
          <w:numId w:val="2"/>
        </w:numPr>
        <w:spacing w:before="0" w:after="0"/>
        <w:contextualSpacing/>
        <w:rPr>
          <w:shd w:fill="auto" w:val="clear"/>
        </w:rPr>
      </w:pPr>
      <w:bookmarkStart w:id="23" w:name="_Toc353522458"/>
      <w:bookmarkStart w:id="24" w:name="_Toc237059953"/>
      <w:bookmarkStart w:id="25" w:name="_Toc401728731"/>
      <w:bookmarkStart w:id="26" w:name="_Toc518976595"/>
      <w:bookmarkStart w:id="27" w:name="_Toc488743550"/>
      <w:r>
        <w:rPr>
          <w:sz w:val="26"/>
          <w:szCs w:val="26"/>
          <w:shd w:fill="auto" w:val="clear"/>
        </w:rPr>
        <w:t>Prix</w:t>
      </w:r>
      <w:bookmarkEnd w:id="23"/>
      <w:bookmarkEnd w:id="24"/>
      <w:bookmarkEnd w:id="25"/>
      <w:bookmarkEnd w:id="26"/>
      <w:bookmarkEnd w:id="27"/>
    </w:p>
    <w:p>
      <w:pPr>
        <w:pStyle w:val="Normal"/>
        <w:spacing w:before="0" w:after="0"/>
        <w:ind w:right="-1" w:hanging="0"/>
        <w:contextualSpacing/>
        <w:rPr>
          <w:szCs w:val="24"/>
          <w:shd w:fill="auto" w:val="clear"/>
        </w:rPr>
      </w:pPr>
      <w:r>
        <w:rPr>
          <w:szCs w:val="24"/>
          <w:shd w:fill="auto" w:val="clear"/>
        </w:rPr>
      </w:r>
    </w:p>
    <w:p>
      <w:pPr>
        <w:pStyle w:val="Normal"/>
        <w:spacing w:before="0" w:after="0"/>
        <w:ind w:right="-1" w:hanging="0"/>
        <w:contextualSpacing/>
        <w:rPr>
          <w:shd w:fill="auto" w:val="clear"/>
        </w:rPr>
      </w:pPr>
      <w:r>
        <w:rPr>
          <w:szCs w:val="24"/>
          <w:shd w:fill="auto" w:val="clear"/>
        </w:rPr>
        <w:t xml:space="preserve">La prestation est traitée sur la base d'un bordereau de prix unitaire, en euros. </w:t>
      </w:r>
    </w:p>
    <w:p>
      <w:pPr>
        <w:pStyle w:val="Normal"/>
        <w:spacing w:before="0" w:after="0"/>
        <w:ind w:right="-1" w:hanging="0"/>
        <w:contextualSpacing/>
        <w:rPr>
          <w:szCs w:val="24"/>
          <w:shd w:fill="auto" w:val="clear"/>
        </w:rPr>
      </w:pPr>
      <w:r>
        <w:rPr>
          <w:szCs w:val="24"/>
          <w:shd w:fill="auto" w:val="clear"/>
        </w:rPr>
      </w:r>
    </w:p>
    <w:p>
      <w:pPr>
        <w:pStyle w:val="Normal"/>
        <w:spacing w:before="0" w:after="0"/>
        <w:ind w:right="-1" w:hanging="0"/>
        <w:contextualSpacing/>
        <w:rPr>
          <w:highlight w:val="none"/>
          <w:shd w:fill="auto" w:val="clear"/>
        </w:rPr>
      </w:pPr>
      <w:r>
        <w:rPr>
          <w:szCs w:val="24"/>
          <w:shd w:fill="auto" w:val="clear"/>
        </w:rPr>
        <w:t>Deux variantes pourront être proposées par le candidat, comme indiqué dans la clause en pièce jointe.</w:t>
      </w:r>
    </w:p>
    <w:p>
      <w:pPr>
        <w:pStyle w:val="Normal"/>
        <w:spacing w:before="0" w:after="0"/>
        <w:ind w:right="-1" w:hanging="0"/>
        <w:contextualSpacing/>
        <w:rPr>
          <w:szCs w:val="24"/>
          <w:shd w:fill="auto" w:val="clear"/>
        </w:rPr>
      </w:pPr>
      <w:r>
        <w:rPr>
          <w:szCs w:val="24"/>
          <w:shd w:fill="auto" w:val="clear"/>
        </w:rPr>
      </w:r>
    </w:p>
    <w:p>
      <w:pPr>
        <w:pStyle w:val="Normal"/>
        <w:spacing w:before="0" w:after="0"/>
        <w:ind w:right="-1" w:hanging="0"/>
        <w:contextualSpacing/>
        <w:rPr>
          <w:shd w:fill="auto" w:val="clear"/>
        </w:rPr>
      </w:pPr>
      <w:r>
        <w:rPr>
          <w:szCs w:val="24"/>
          <w:shd w:fill="auto" w:val="clear"/>
        </w:rPr>
        <w:t xml:space="preserve">Le prestataire s’engage à fournir tous les renseignements et </w:t>
      </w:r>
      <w:r>
        <w:rPr>
          <w:color w:val="000000"/>
          <w:szCs w:val="24"/>
          <w:shd w:fill="auto" w:val="clear"/>
        </w:rPr>
        <w:t>documents</w:t>
      </w:r>
      <w:r>
        <w:rPr>
          <w:szCs w:val="24"/>
          <w:shd w:fill="auto" w:val="clear"/>
        </w:rPr>
        <w:t xml:space="preserve"> sur les prix aux représentants administratifs de la Commune de Saint-Paul qui en feraient la demande. </w:t>
      </w:r>
    </w:p>
    <w:p>
      <w:pPr>
        <w:pStyle w:val="Normal"/>
        <w:spacing w:before="0" w:after="0"/>
        <w:ind w:right="-1" w:hanging="0"/>
        <w:contextualSpacing/>
        <w:rPr>
          <w:shd w:fill="auto" w:val="clear"/>
        </w:rPr>
      </w:pPr>
      <w:r>
        <w:rPr>
          <w:shd w:fill="auto" w:val="clear"/>
        </w:rPr>
      </w:r>
    </w:p>
    <w:p>
      <w:pPr>
        <w:pStyle w:val="Titre2"/>
        <w:numPr>
          <w:ilvl w:val="0"/>
          <w:numId w:val="2"/>
        </w:numPr>
        <w:spacing w:before="0" w:after="0"/>
        <w:contextualSpacing/>
        <w:rPr>
          <w:shd w:fill="auto" w:val="clear"/>
        </w:rPr>
      </w:pPr>
      <w:r>
        <w:rPr>
          <w:sz w:val="26"/>
          <w:szCs w:val="26"/>
          <w:shd w:fill="auto" w:val="clear"/>
        </w:rPr>
        <w:t>Modalités de paiement</w:t>
      </w:r>
    </w:p>
    <w:p>
      <w:pPr>
        <w:pStyle w:val="Textepardfaut"/>
        <w:tabs>
          <w:tab w:val="clear" w:pos="720"/>
          <w:tab w:val="left" w:pos="0" w:leader="none"/>
          <w:tab w:val="left" w:pos="216" w:leader="none"/>
          <w:tab w:val="left" w:pos="7344" w:leader="none"/>
          <w:tab w:val="left" w:pos="11406" w:leader="none"/>
        </w:tabs>
        <w:spacing w:before="0" w:after="0"/>
        <w:contextualSpacing/>
        <w:jc w:val="both"/>
        <w:rPr>
          <w:color w:val="000000"/>
          <w:sz w:val="24"/>
          <w:szCs w:val="24"/>
          <w:shd w:fill="auto" w:val="clear"/>
          <w:lang w:val="fr-FR"/>
        </w:rPr>
      </w:pPr>
      <w:r>
        <w:rPr>
          <w:color w:val="000000"/>
          <w:sz w:val="24"/>
          <w:szCs w:val="24"/>
          <w:shd w:fill="auto" w:val="clear"/>
          <w:lang w:val="fr-FR"/>
        </w:rPr>
      </w:r>
    </w:p>
    <w:p>
      <w:pPr>
        <w:pStyle w:val="Textepardfaut"/>
        <w:tabs>
          <w:tab w:val="clear" w:pos="720"/>
          <w:tab w:val="left" w:pos="0" w:leader="none"/>
          <w:tab w:val="left" w:pos="216" w:leader="none"/>
          <w:tab w:val="left" w:pos="7344" w:leader="none"/>
          <w:tab w:val="left" w:pos="11406" w:leader="none"/>
        </w:tabs>
        <w:spacing w:before="0" w:after="0"/>
        <w:contextualSpacing/>
        <w:jc w:val="both"/>
        <w:rPr/>
      </w:pPr>
      <w:r>
        <w:rPr>
          <w:rStyle w:val="InitialStyle"/>
          <w:color w:val="000000"/>
          <w:sz w:val="24"/>
          <w:szCs w:val="24"/>
          <w:shd w:fill="auto" w:val="clear"/>
          <w:lang w:val="fr-FR"/>
        </w:rPr>
        <w:t>La commande fera l’objet d’un bon de commande, avec une facturation unique en fin de mission</w:t>
      </w:r>
      <w:r>
        <w:rPr>
          <w:color w:val="000000"/>
          <w:szCs w:val="24"/>
          <w:shd w:fill="auto" w:val="clear"/>
          <w:lang w:val="fr-FR"/>
        </w:rPr>
        <w:t>.</w:t>
      </w:r>
    </w:p>
    <w:p>
      <w:pPr>
        <w:pStyle w:val="Textepardfaut"/>
        <w:tabs>
          <w:tab w:val="clear" w:pos="720"/>
          <w:tab w:val="left" w:pos="0" w:leader="none"/>
          <w:tab w:val="left" w:pos="216" w:leader="none"/>
          <w:tab w:val="left" w:pos="7344" w:leader="none"/>
          <w:tab w:val="left" w:pos="11406" w:leader="none"/>
        </w:tabs>
        <w:spacing w:before="0" w:after="0"/>
        <w:contextualSpacing/>
        <w:jc w:val="both"/>
        <w:rPr>
          <w:sz w:val="24"/>
          <w:szCs w:val="24"/>
          <w:shd w:fill="auto" w:val="clear"/>
          <w:lang w:val="fr-FR"/>
        </w:rPr>
      </w:pPr>
      <w:r>
        <w:rPr>
          <w:sz w:val="24"/>
          <w:szCs w:val="24"/>
          <w:shd w:fill="auto" w:val="clear"/>
          <w:lang w:val="fr-FR"/>
        </w:rPr>
      </w:r>
    </w:p>
    <w:p>
      <w:pPr>
        <w:pStyle w:val="Textepardfaut"/>
        <w:tabs>
          <w:tab w:val="clear" w:pos="720"/>
          <w:tab w:val="left" w:pos="0" w:leader="none"/>
          <w:tab w:val="left" w:pos="216" w:leader="none"/>
          <w:tab w:val="left" w:pos="7344" w:leader="none"/>
          <w:tab w:val="left" w:pos="11406" w:leader="none"/>
        </w:tabs>
        <w:spacing w:before="0" w:after="0"/>
        <w:contextualSpacing/>
        <w:jc w:val="both"/>
        <w:rPr/>
      </w:pPr>
      <w:r>
        <w:rPr>
          <w:rStyle w:val="InitialStyle"/>
          <w:sz w:val="24"/>
          <w:szCs w:val="24"/>
          <w:shd w:fill="auto" w:val="clear"/>
          <w:lang w:val="fr-FR"/>
        </w:rPr>
        <w:t>Le point de départ du délai global (30 jours) de paiement est la date de réception de la demande de paiement par la division de la comptabilité et du budget, via le logiciel CHORUS.</w:t>
      </w:r>
    </w:p>
    <w:sectPr>
      <w:headerReference w:type="default" r:id="rId3"/>
      <w:footerReference w:type="default" r:id="rId4"/>
      <w:type w:val="nextPage"/>
      <w:pgSz w:w="11906" w:h="16838"/>
      <w:pgMar w:left="1418" w:right="1275" w:gutter="0" w:header="568" w:top="709" w:footer="335" w:bottom="851"/>
      <w:pgNumType w:start="0" w:fmt="decimal"/>
      <w:formProt w:val="false"/>
      <w:titlePg/>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Calibri">
    <w:charset w:val="00"/>
    <w:family w:val="roman"/>
    <w:pitch w:val="variable"/>
  </w:font>
  <w:font w:name="Tahoma">
    <w:charset w:val="00"/>
    <w:family w:val="roman"/>
    <w:pitch w:val="variable"/>
  </w:font>
  <w:font w:name="Courier New">
    <w:charset w:val="00"/>
    <w:family w:val="roman"/>
    <w:pitch w:val="variable"/>
  </w:font>
  <w:font w:name="Wingdings">
    <w:charset w:val="00"/>
    <w:family w:val="roman"/>
    <w:pitch w:val="variable"/>
  </w:font>
  <w:font w:name="Symbol">
    <w:charset w:val="00"/>
    <w:family w:val="roman"/>
    <w:pitch w:val="variable"/>
  </w:font>
  <w:font w:name="Circular Pro Book">
    <w:charset w:val="00"/>
    <w:family w:val="roman"/>
    <w:pitch w:val="variable"/>
  </w:font>
  <w:font w:name="Circular Pro Black">
    <w:charset w:val="00"/>
    <w:family w:val="roman"/>
    <w:pitch w:val="variable"/>
  </w:font>
  <w:font w:name="OpenSymbol">
    <w:altName w:val="Arial Unicode MS"/>
    <w:charset w:val="00"/>
    <w:family w:val="roman"/>
    <w:pitch w:val="variable"/>
  </w:font>
  <w:font w:name="Liberation Sans">
    <w:altName w:val="Arial"/>
    <w:charset w:val="00"/>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ieddepage"/>
      <w:pBdr>
        <w:bottom w:val="single" w:sz="6" w:space="1" w:color="000000"/>
      </w:pBdr>
      <w:rPr>
        <w:sz w:val="4"/>
      </w:rPr>
    </w:pPr>
    <w:r>
      <w:rPr>
        <w:sz w:val="4"/>
      </w:rPr>
    </w:r>
  </w:p>
  <w:p>
    <w:pPr>
      <w:pStyle w:val="Pieddepage"/>
      <w:rPr>
        <w:sz w:val="4"/>
      </w:rPr>
    </w:pPr>
    <w:r>
      <w:rPr>
        <w:sz w:val="4"/>
      </w:rPr>
    </w:r>
  </w:p>
  <w:p>
    <w:pPr>
      <w:pStyle w:val="Pieddepage"/>
      <w:ind w:hanging="0"/>
      <w:rPr>
        <w:rFonts w:ascii="Calibri" w:hAnsi="Calibri" w:cs="Calibri"/>
        <w:sz w:val="16"/>
        <w:szCs w:val="16"/>
      </w:rPr>
    </w:pPr>
    <w:r>
      <w:rPr>
        <w:rFonts w:cs="Calibri" w:ascii="Calibri" w:hAnsi="Calibri" w:asciiTheme="minorHAnsi" w:cstheme="minorHAnsi" w:hAnsiTheme="minorHAnsi"/>
        <w:color w:val="A6A6A6" w:themeColor="background1" w:themeShade="a6"/>
        <w:sz w:val="16"/>
        <w:szCs w:val="16"/>
      </w:rPr>
      <w:t>Consultation offre de prestation d’animations de Noël- PVNTE– DVET – SEEM</w:t>
      <w:tab/>
    </w:r>
    <w:r>
      <w:rPr>
        <w:rStyle w:val="Pagenumber"/>
        <w:rFonts w:cs="Calibri" w:ascii="Calibri" w:hAnsi="Calibri" w:asciiTheme="minorHAnsi" w:cstheme="minorHAnsi" w:hAnsiTheme="minorHAnsi"/>
        <w:color w:val="A6A6A6" w:themeColor="background1" w:themeShade="a6"/>
        <w:sz w:val="16"/>
        <w:szCs w:val="16"/>
      </w:rPr>
      <w:tab/>
    </w:r>
    <w:r>
      <w:rPr>
        <w:rStyle w:val="Pagenumber"/>
        <w:rFonts w:cs="Calibri" w:ascii="Calibri" w:hAnsi="Calibri"/>
        <w:color w:val="A6A6A6"/>
        <w:sz w:val="16"/>
        <w:szCs w:val="16"/>
      </w:rPr>
      <w:fldChar w:fldCharType="begin"/>
    </w:r>
    <w:r>
      <w:rPr>
        <w:rStyle w:val="Pagenumber"/>
        <w:sz w:val="16"/>
        <w:szCs w:val="16"/>
        <w:rFonts w:cs="Calibri" w:ascii="Calibri" w:hAnsi="Calibri"/>
        <w:color w:val="A6A6A6"/>
      </w:rPr>
      <w:instrText xml:space="preserve"> PAGE </w:instrText>
    </w:r>
    <w:r>
      <w:rPr>
        <w:rStyle w:val="Pagenumber"/>
        <w:sz w:val="16"/>
        <w:szCs w:val="16"/>
        <w:rFonts w:cs="Calibri" w:ascii="Calibri" w:hAnsi="Calibri"/>
        <w:color w:val="A6A6A6"/>
      </w:rPr>
      <w:fldChar w:fldCharType="separate"/>
    </w:r>
    <w:r>
      <w:rPr>
        <w:rStyle w:val="Pagenumber"/>
        <w:sz w:val="16"/>
        <w:szCs w:val="16"/>
        <w:rFonts w:cs="Calibri" w:ascii="Calibri" w:hAnsi="Calibri"/>
        <w:color w:val="A6A6A6"/>
      </w:rPr>
      <w:t>6</w:t>
    </w:r>
    <w:r>
      <w:rPr>
        <w:rStyle w:val="Pagenumber"/>
        <w:sz w:val="16"/>
        <w:szCs w:val="16"/>
        <w:rFonts w:cs="Calibri" w:ascii="Calibri" w:hAnsi="Calibri"/>
        <w:color w:val="A6A6A6"/>
      </w:rPr>
      <w:fldChar w:fldCharType="end"/>
    </w:r>
    <w:r>
      <w:rPr>
        <w:rStyle w:val="Pagenumber"/>
        <w:rFonts w:cs="Calibri" w:ascii="Calibri" w:hAnsi="Calibri" w:asciiTheme="minorHAnsi" w:cstheme="minorHAnsi" w:hAnsiTheme="minorHAnsi"/>
        <w:color w:val="A6A6A6" w:themeColor="background1" w:themeShade="a6"/>
        <w:sz w:val="16"/>
        <w:szCs w:val="16"/>
      </w:rPr>
      <w:t>/5</w:t>
    </w:r>
    <w:r>
      <w:rPr>
        <w:rStyle w:val="Pagenumber"/>
        <w:rFonts w:cs="Calibri" w:ascii="Calibri" w:hAnsi="Calibri" w:asciiTheme="minorHAnsi" w:cstheme="minorHAnsi" w:hAnsiTheme="minorHAnsi"/>
        <w:sz w:val="16"/>
        <w:szCs w:val="16"/>
      </w:rPr>
      <w:tab/>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tte"/>
      <w:ind w:hanging="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Titre2"/>
      <w:numFmt w:val="upperRoman"/>
      <w:lvlText w:val="%1."/>
      <w:lvlJc w:val="right"/>
      <w:pPr>
        <w:tabs>
          <w:tab w:val="num" w:pos="0"/>
        </w:tabs>
        <w:ind w:left="360" w:hanging="36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upperRoman"/>
      <w:lvlText w:val="%1."/>
      <w:lvlJc w:val="right"/>
      <w:pPr>
        <w:tabs>
          <w:tab w:val="num" w:pos="0"/>
        </w:tabs>
        <w:ind w:left="360" w:hanging="36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3">
    <w:lvl w:ilvl="0">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262"/>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6">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lvl w:ilvl="0">
      <w:start w:val="1"/>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lvl w:ilvl="0">
      <w:start w:val="1"/>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40"/>
  <w:defaultTabStop w:val="720"/>
  <w:autoHyphenation w:val="true"/>
  <w:hyphenationZone w:val="425"/>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084a92"/>
    <w:pPr>
      <w:widowControl/>
      <w:suppressAutoHyphens w:val="true"/>
      <w:bidi w:val="0"/>
      <w:spacing w:before="0" w:after="0"/>
      <w:ind w:firstLine="113"/>
      <w:jc w:val="both"/>
    </w:pPr>
    <w:rPr>
      <w:rFonts w:ascii="Times New Roman" w:hAnsi="Times New Roman" w:eastAsia="Times New Roman" w:cs="Times New Roman"/>
      <w:color w:val="auto"/>
      <w:kern w:val="0"/>
      <w:sz w:val="24"/>
      <w:szCs w:val="20"/>
      <w:lang w:val="fr-FR" w:eastAsia="fr-FR" w:bidi="ar-SA"/>
    </w:rPr>
  </w:style>
  <w:style w:type="paragraph" w:styleId="Titre1">
    <w:name w:val="Heading 1"/>
    <w:basedOn w:val="Normal"/>
    <w:next w:val="Normal"/>
    <w:qFormat/>
    <w:rsid w:val="002174b1"/>
    <w:pPr>
      <w:keepNext w:val="true"/>
      <w:pBdr>
        <w:top w:val="single" w:sz="2" w:space="1" w:color="558DD4"/>
        <w:left w:val="single" w:sz="2" w:space="4" w:color="558DD4"/>
        <w:bottom w:val="single" w:sz="2" w:space="1" w:color="558DD4"/>
        <w:right w:val="single" w:sz="2" w:space="4" w:color="558DD4"/>
      </w:pBdr>
      <w:spacing w:before="240" w:after="60"/>
      <w:outlineLvl w:val="0"/>
    </w:pPr>
    <w:rPr>
      <w:b/>
      <w:kern w:val="2"/>
      <w:sz w:val="28"/>
    </w:rPr>
  </w:style>
  <w:style w:type="paragraph" w:styleId="Titre2">
    <w:name w:val="Heading 2"/>
    <w:basedOn w:val="Normal"/>
    <w:next w:val="Normal"/>
    <w:qFormat/>
    <w:rsid w:val="00387c95"/>
    <w:pPr>
      <w:keepNext w:val="true"/>
      <w:numPr>
        <w:ilvl w:val="0"/>
        <w:numId w:val="1"/>
      </w:numPr>
      <w:ind w:left="1069" w:firstLine="113"/>
      <w:outlineLvl w:val="0"/>
    </w:pPr>
    <w:rPr>
      <w:b/>
      <w:sz w:val="28"/>
      <w:u w:val="single"/>
    </w:rPr>
  </w:style>
  <w:style w:type="paragraph" w:styleId="Titre3">
    <w:name w:val="Heading 3"/>
    <w:basedOn w:val="Normal"/>
    <w:next w:val="Normal"/>
    <w:autoRedefine/>
    <w:qFormat/>
    <w:rsid w:val="00b9408b"/>
    <w:pPr>
      <w:keepNext w:val="true"/>
      <w:spacing w:before="0" w:after="0"/>
      <w:ind w:right="-142" w:hanging="0"/>
      <w:contextualSpacing/>
      <w:outlineLvl w:val="2"/>
    </w:pPr>
    <w:rPr>
      <w:b/>
      <w:szCs w:val="24"/>
      <w:u w:val="single"/>
    </w:rPr>
  </w:style>
  <w:style w:type="paragraph" w:styleId="Titre4">
    <w:name w:val="Heading 4"/>
    <w:basedOn w:val="Normal"/>
    <w:next w:val="Normal"/>
    <w:qFormat/>
    <w:rsid w:val="00084a92"/>
    <w:pPr>
      <w:keepNext w:val="true"/>
      <w:spacing w:before="240" w:after="60"/>
      <w:outlineLvl w:val="3"/>
    </w:pPr>
    <w:rPr>
      <w:rFonts w:ascii="Arial" w:hAnsi="Arial"/>
    </w:rPr>
  </w:style>
  <w:style w:type="paragraph" w:styleId="Titre5">
    <w:name w:val="Heading 5"/>
    <w:basedOn w:val="Normal"/>
    <w:next w:val="Normal"/>
    <w:link w:val="Titre5Car"/>
    <w:uiPriority w:val="9"/>
    <w:semiHidden/>
    <w:unhideWhenUsed/>
    <w:qFormat/>
    <w:rsid w:val="00fd1802"/>
    <w:pPr>
      <w:spacing w:before="240" w:after="60"/>
      <w:outlineLvl w:val="4"/>
    </w:pPr>
    <w:rPr>
      <w:rFonts w:ascii="Calibri" w:hAnsi="Calibri"/>
      <w:b/>
      <w:bCs/>
      <w:i/>
      <w:iCs/>
      <w:sz w:val="26"/>
      <w:szCs w:val="26"/>
    </w:rPr>
  </w:style>
  <w:style w:type="character" w:styleId="DefaultParagraphFont" w:default="1">
    <w:name w:val="Default Paragraph Font"/>
    <w:uiPriority w:val="1"/>
    <w:semiHidden/>
    <w:unhideWhenUsed/>
    <w:qFormat/>
    <w:rPr/>
  </w:style>
  <w:style w:type="character" w:styleId="Annotationreference">
    <w:name w:val="annotation reference"/>
    <w:qFormat/>
    <w:rsid w:val="00084a92"/>
    <w:rPr>
      <w:sz w:val="16"/>
    </w:rPr>
  </w:style>
  <w:style w:type="character" w:styleId="Caractresdenotedefin" w:customStyle="1">
    <w:name w:val="Caractères de note de fin"/>
    <w:qFormat/>
    <w:rPr>
      <w:vertAlign w:val="superscript"/>
    </w:rPr>
  </w:style>
  <w:style w:type="character" w:styleId="Ancredenotedefin">
    <w:name w:val="Endnote Reference"/>
    <w:rPr>
      <w:vertAlign w:val="superscript"/>
    </w:rPr>
  </w:style>
  <w:style w:type="character" w:styleId="EndnoteCharacters" w:customStyle="1">
    <w:name w:val="Endnote Characters"/>
    <w:semiHidden/>
    <w:qFormat/>
    <w:rsid w:val="00084a92"/>
    <w:rPr>
      <w:vertAlign w:val="superscript"/>
    </w:rPr>
  </w:style>
  <w:style w:type="character" w:styleId="Caractresdenotedebasdepage" w:customStyle="1">
    <w:name w:val="Caractères de note de bas de page"/>
    <w:qFormat/>
    <w:rPr>
      <w:sz w:val="16"/>
      <w:vertAlign w:val="superscript"/>
    </w:rPr>
  </w:style>
  <w:style w:type="character" w:styleId="Ancredenotedebasdepage">
    <w:name w:val="Footnote Reference"/>
    <w:rPr>
      <w:sz w:val="16"/>
      <w:vertAlign w:val="superscript"/>
    </w:rPr>
  </w:style>
  <w:style w:type="character" w:styleId="FootnoteCharacters" w:customStyle="1">
    <w:name w:val="Footnote Characters"/>
    <w:semiHidden/>
    <w:qFormat/>
    <w:rsid w:val="00084a92"/>
    <w:rPr>
      <w:sz w:val="16"/>
    </w:rPr>
  </w:style>
  <w:style w:type="character" w:styleId="Pagenumber">
    <w:name w:val="page number"/>
    <w:basedOn w:val="DefaultParagraphFont"/>
    <w:semiHidden/>
    <w:qFormat/>
    <w:rsid w:val="00084a92"/>
    <w:rPr/>
  </w:style>
  <w:style w:type="character" w:styleId="EntteCar" w:customStyle="1">
    <w:name w:val="En-tête Car"/>
    <w:qFormat/>
    <w:rsid w:val="00274594"/>
    <w:rPr>
      <w:sz w:val="24"/>
    </w:rPr>
  </w:style>
  <w:style w:type="character" w:styleId="PieddepageCar" w:customStyle="1">
    <w:name w:val="Pied de page Car"/>
    <w:qFormat/>
    <w:rsid w:val="00274594"/>
    <w:rPr>
      <w:sz w:val="24"/>
    </w:rPr>
  </w:style>
  <w:style w:type="character" w:styleId="Titre5Car" w:customStyle="1">
    <w:name w:val="Titre 5 Car"/>
    <w:uiPriority w:val="9"/>
    <w:semiHidden/>
    <w:qFormat/>
    <w:rsid w:val="00fd1802"/>
    <w:rPr>
      <w:rFonts w:ascii="Calibri" w:hAnsi="Calibri" w:eastAsia="Times New Roman" w:cs="Times New Roman"/>
      <w:b/>
      <w:bCs/>
      <w:i/>
      <w:iCs/>
      <w:sz w:val="26"/>
      <w:szCs w:val="26"/>
    </w:rPr>
  </w:style>
  <w:style w:type="character" w:styleId="CommentaireCar" w:customStyle="1">
    <w:name w:val="Commentaire Car"/>
    <w:basedOn w:val="DefaultParagraphFont"/>
    <w:qFormat/>
    <w:rsid w:val="006127bf"/>
    <w:rPr/>
  </w:style>
  <w:style w:type="character" w:styleId="ObjetducommentaireCar" w:customStyle="1">
    <w:name w:val="Objet du commentaire Car"/>
    <w:uiPriority w:val="99"/>
    <w:semiHidden/>
    <w:qFormat/>
    <w:rsid w:val="006127bf"/>
    <w:rPr>
      <w:b/>
      <w:bCs/>
    </w:rPr>
  </w:style>
  <w:style w:type="character" w:styleId="TextedebullesCar" w:customStyle="1">
    <w:name w:val="Texte de bulles Car"/>
    <w:uiPriority w:val="99"/>
    <w:semiHidden/>
    <w:qFormat/>
    <w:rsid w:val="006127bf"/>
    <w:rPr>
      <w:rFonts w:ascii="Tahoma" w:hAnsi="Tahoma" w:cs="Tahoma"/>
      <w:sz w:val="16"/>
      <w:szCs w:val="16"/>
    </w:rPr>
  </w:style>
  <w:style w:type="character" w:styleId="Appleconvertedspace" w:customStyle="1">
    <w:name w:val="apple-converted-space"/>
    <w:basedOn w:val="DefaultParagraphFont"/>
    <w:qFormat/>
    <w:rsid w:val="00bd2262"/>
    <w:rPr/>
  </w:style>
  <w:style w:type="character" w:styleId="InitialStyle" w:customStyle="1">
    <w:name w:val="InitialStyle"/>
    <w:qFormat/>
    <w:rsid w:val="001705a9"/>
    <w:rPr>
      <w:rFonts w:ascii="Times New Roman" w:hAnsi="Times New Roman"/>
      <w:color w:val="auto"/>
      <w:spacing w:val="0"/>
      <w:sz w:val="20"/>
      <w:szCs w:val="20"/>
    </w:rPr>
  </w:style>
  <w:style w:type="character" w:styleId="Caractresdenumrotation" w:customStyle="1">
    <w:name w:val="Caractères de numérotation"/>
    <w:qFormat/>
    <w:rPr/>
  </w:style>
  <w:style w:type="character" w:styleId="LienInternet" w:customStyle="1">
    <w:name w:val="Hyperlink"/>
    <w:basedOn w:val="DefaultParagraphFont"/>
    <w:uiPriority w:val="99"/>
    <w:unhideWhenUsed/>
    <w:rsid w:val="003c753f"/>
    <w:rPr>
      <w:color w:val="0000FF" w:themeColor="hyperlink"/>
      <w:u w:val="single"/>
    </w:rPr>
  </w:style>
  <w:style w:type="character" w:styleId="Sautdindex" w:customStyle="1">
    <w:name w:val="Saut d'index"/>
    <w:qFormat/>
    <w:rPr/>
  </w:style>
  <w:style w:type="character" w:styleId="WW8Num1z0" w:customStyle="1">
    <w:name w:val="WW8Num1z0"/>
    <w:qFormat/>
    <w:rPr>
      <w:rFonts w:ascii="Times New Roman" w:hAnsi="Times New Roman" w:eastAsia="Times New Roman" w:cs="Times New Roman"/>
      <w:lang w:bidi="fr-FR"/>
    </w:rPr>
  </w:style>
  <w:style w:type="character" w:styleId="WW8Num1z1" w:customStyle="1">
    <w:name w:val="WW8Num1z1"/>
    <w:qFormat/>
    <w:rPr>
      <w:rFonts w:ascii="Courier New" w:hAnsi="Courier New" w:cs="Courier New"/>
    </w:rPr>
  </w:style>
  <w:style w:type="character" w:styleId="WW8Num1z2" w:customStyle="1">
    <w:name w:val="WW8Num1z2"/>
    <w:qFormat/>
    <w:rPr>
      <w:rFonts w:ascii="Wingdings" w:hAnsi="Wingdings" w:cs="Wingdings"/>
    </w:rPr>
  </w:style>
  <w:style w:type="character" w:styleId="WW8Num1z3" w:customStyle="1">
    <w:name w:val="WW8Num1z3"/>
    <w:qFormat/>
    <w:rPr>
      <w:rFonts w:ascii="Symbol" w:hAnsi="Symbol" w:cs="Symbol"/>
    </w:rPr>
  </w:style>
  <w:style w:type="character" w:styleId="A1" w:customStyle="1">
    <w:name w:val="A1"/>
    <w:qFormat/>
    <w:rPr>
      <w:rFonts w:ascii="Circular Pro Book" w:hAnsi="Circular Pro Book"/>
      <w:color w:val="000000"/>
      <w:sz w:val="14"/>
    </w:rPr>
  </w:style>
  <w:style w:type="character" w:styleId="A7" w:customStyle="1">
    <w:name w:val="A7"/>
    <w:qFormat/>
    <w:rPr>
      <w:rFonts w:ascii="Circular Pro Black" w:hAnsi="Circular Pro Black"/>
      <w:color w:val="000000"/>
      <w:sz w:val="16"/>
    </w:rPr>
  </w:style>
  <w:style w:type="character" w:styleId="A8" w:customStyle="1">
    <w:name w:val="A8"/>
    <w:qFormat/>
    <w:rPr>
      <w:rFonts w:ascii="Circular Pro Book" w:hAnsi="Circular Pro Book"/>
      <w:color w:val="000000"/>
      <w:sz w:val="16"/>
      <w:u w:val="single"/>
    </w:rPr>
  </w:style>
  <w:style w:type="character" w:styleId="WW8Num3z0" w:customStyle="1">
    <w:name w:val="WW8Num3z0"/>
    <w:qFormat/>
    <w:rPr>
      <w:rFonts w:ascii="Symbol" w:hAnsi="Symbol" w:cs="Symbol"/>
      <w:szCs w:val="22"/>
    </w:rPr>
  </w:style>
  <w:style w:type="character" w:styleId="WW8Num3z1" w:customStyle="1">
    <w:name w:val="WW8Num3z1"/>
    <w:qFormat/>
    <w:rPr>
      <w:rFonts w:ascii="Courier New" w:hAnsi="Courier New" w:cs="Courier New"/>
    </w:rPr>
  </w:style>
  <w:style w:type="character" w:styleId="WW8Num3z2" w:customStyle="1">
    <w:name w:val="WW8Num3z2"/>
    <w:qFormat/>
    <w:rPr>
      <w:rFonts w:ascii="Wingdings" w:hAnsi="Wingdings" w:cs="Wingdings"/>
    </w:rPr>
  </w:style>
  <w:style w:type="character" w:styleId="Mentionnonrsolue1" w:customStyle="1">
    <w:name w:val="Mention non résolue1"/>
    <w:basedOn w:val="DefaultParagraphFont"/>
    <w:uiPriority w:val="99"/>
    <w:semiHidden/>
    <w:unhideWhenUsed/>
    <w:qFormat/>
    <w:rsid w:val="00a9345c"/>
    <w:rPr>
      <w:color w:val="605E5C"/>
      <w:shd w:fill="E1DFDD" w:val="clear"/>
    </w:rPr>
  </w:style>
  <w:style w:type="character" w:styleId="Puces" w:customStyle="1">
    <w:name w:val="Puces"/>
    <w:qFormat/>
    <w:rPr>
      <w:rFonts w:ascii="OpenSymbol" w:hAnsi="OpenSymbol" w:eastAsia="OpenSymbol" w:cs="OpenSymbol"/>
    </w:rPr>
  </w:style>
  <w:style w:type="character" w:styleId="Strong">
    <w:name w:val="Strong"/>
    <w:basedOn w:val="DefaultParagraphFont"/>
    <w:uiPriority w:val="22"/>
    <w:qFormat/>
    <w:rsid w:val="00476704"/>
    <w:rPr>
      <w:b/>
      <w:bCs/>
      <w:i w:val="false"/>
      <w:iCs w:val="false"/>
    </w:rPr>
  </w:style>
  <w:style w:type="character" w:styleId="Mentionnonrsolue2" w:customStyle="1">
    <w:name w:val="Mention non résolue2"/>
    <w:basedOn w:val="DefaultParagraphFont"/>
    <w:uiPriority w:val="99"/>
    <w:semiHidden/>
    <w:unhideWhenUsed/>
    <w:qFormat/>
    <w:rsid w:val="003c753f"/>
    <w:rPr>
      <w:color w:val="605E5C"/>
      <w:shd w:fill="E1DFDD" w:val="clear"/>
    </w:rPr>
  </w:style>
  <w:style w:type="paragraph" w:styleId="Titre">
    <w:name w:val="Titre"/>
    <w:basedOn w:val="Normal"/>
    <w:next w:val="Corpsdetexte"/>
    <w:qFormat/>
    <w:pPr>
      <w:keepNext w:val="true"/>
      <w:spacing w:before="240" w:after="120"/>
    </w:pPr>
    <w:rPr>
      <w:rFonts w:ascii="Liberation Sans" w:hAnsi="Liberation Sans" w:eastAsia="Microsoft YaHei" w:cs="Arial"/>
      <w:sz w:val="28"/>
      <w:szCs w:val="28"/>
    </w:rPr>
  </w:style>
  <w:style w:type="paragraph" w:styleId="Corpsdetexte">
    <w:name w:val="Body Text"/>
    <w:basedOn w:val="Normal"/>
    <w:semiHidden/>
    <w:rsid w:val="00084a92"/>
    <w:pPr>
      <w:spacing w:before="0" w:after="120"/>
      <w:ind w:hanging="0"/>
      <w:textAlignment w:val="baseline"/>
    </w:pPr>
    <w:rPr/>
  </w:style>
  <w:style w:type="paragraph" w:styleId="Liste">
    <w:name w:val="List"/>
    <w:basedOn w:val="Corpsdetexte"/>
    <w:pPr/>
    <w:rPr>
      <w:rFonts w:cs="Arial"/>
    </w:rPr>
  </w:style>
  <w:style w:type="paragraph" w:styleId="Lgende">
    <w:name w:val="Caption"/>
    <w:basedOn w:val="Normal"/>
    <w:qFormat/>
    <w:pPr>
      <w:suppressLineNumbers/>
      <w:spacing w:before="120" w:after="120"/>
    </w:pPr>
    <w:rPr>
      <w:rFonts w:cs="Arial"/>
      <w:i/>
      <w:iCs/>
      <w:sz w:val="24"/>
      <w:szCs w:val="24"/>
    </w:rPr>
  </w:style>
  <w:style w:type="paragraph" w:styleId="Index" w:customStyle="1">
    <w:name w:val="Index"/>
    <w:basedOn w:val="Normal"/>
    <w:qFormat/>
    <w:pPr>
      <w:suppressLineNumbers/>
    </w:pPr>
    <w:rPr>
      <w:rFonts w:cs="Arial"/>
    </w:rPr>
  </w:style>
  <w:style w:type="paragraph" w:styleId="Titreprincipal">
    <w:name w:val="Title"/>
    <w:basedOn w:val="Normal"/>
    <w:next w:val="Corpsdetexte"/>
    <w:qFormat/>
    <w:rsid w:val="00084a92"/>
    <w:pPr>
      <w:jc w:val="center"/>
    </w:pPr>
    <w:rPr>
      <w:sz w:val="36"/>
    </w:rPr>
  </w:style>
  <w:style w:type="paragraph" w:styleId="Caption">
    <w:name w:val="caption"/>
    <w:basedOn w:val="Normal"/>
    <w:qFormat/>
    <w:pPr>
      <w:suppressLineNumbers/>
      <w:spacing w:before="120" w:after="120"/>
    </w:pPr>
    <w:rPr>
      <w:rFonts w:cs="Arial"/>
      <w:i/>
      <w:iCs/>
      <w:szCs w:val="24"/>
    </w:rPr>
  </w:style>
  <w:style w:type="paragraph" w:styleId="Annotationtext">
    <w:name w:val="annotation text"/>
    <w:basedOn w:val="Normal"/>
    <w:link w:val="CommentaireCar"/>
    <w:qFormat/>
    <w:rsid w:val="00084a92"/>
    <w:pPr/>
    <w:rPr>
      <w:sz w:val="20"/>
    </w:rPr>
  </w:style>
  <w:style w:type="paragraph" w:styleId="Entteetpieddepage" w:customStyle="1">
    <w:name w:val="En-tête et pied de page"/>
    <w:basedOn w:val="Normal"/>
    <w:qFormat/>
    <w:pPr/>
    <w:rPr/>
  </w:style>
  <w:style w:type="paragraph" w:styleId="Pieddepage">
    <w:name w:val="Footer"/>
    <w:basedOn w:val="Normal"/>
    <w:link w:val="PieddepageCar"/>
    <w:rsid w:val="00084a92"/>
    <w:pPr>
      <w:tabs>
        <w:tab w:val="clear" w:pos="720"/>
        <w:tab w:val="center" w:pos="4819" w:leader="none"/>
        <w:tab w:val="right" w:pos="9071" w:leader="none"/>
      </w:tabs>
    </w:pPr>
    <w:rPr/>
  </w:style>
  <w:style w:type="paragraph" w:styleId="Entte">
    <w:name w:val="Header"/>
    <w:basedOn w:val="Normal"/>
    <w:rsid w:val="00084a92"/>
    <w:pPr>
      <w:tabs>
        <w:tab w:val="clear" w:pos="720"/>
        <w:tab w:val="center" w:pos="4819" w:leader="none"/>
        <w:tab w:val="right" w:pos="9071" w:leader="none"/>
      </w:tabs>
    </w:pPr>
    <w:rPr/>
  </w:style>
  <w:style w:type="paragraph" w:styleId="Notedebasdepage">
    <w:name w:val="Footnote Text"/>
    <w:basedOn w:val="Normal"/>
    <w:semiHidden/>
    <w:rsid w:val="00084a92"/>
    <w:pPr/>
    <w:rPr>
      <w:sz w:val="20"/>
    </w:rPr>
  </w:style>
  <w:style w:type="paragraph" w:styleId="P1" w:customStyle="1">
    <w:name w:val="p1"/>
    <w:basedOn w:val="Normal"/>
    <w:qFormat/>
    <w:rsid w:val="00084a92"/>
    <w:pPr/>
    <w:rPr>
      <w:b/>
      <w:i/>
    </w:rPr>
  </w:style>
  <w:style w:type="paragraph" w:styleId="T1" w:customStyle="1">
    <w:name w:val="T1"/>
    <w:basedOn w:val="Normal"/>
    <w:qFormat/>
    <w:rsid w:val="00084a92"/>
    <w:pPr>
      <w:jc w:val="center"/>
    </w:pPr>
    <w:rPr>
      <w:b/>
      <w:sz w:val="20"/>
    </w:rPr>
  </w:style>
  <w:style w:type="paragraph" w:styleId="CO" w:customStyle="1">
    <w:name w:val="CO"/>
    <w:basedOn w:val="Normal"/>
    <w:qFormat/>
    <w:rsid w:val="00084a92"/>
    <w:pPr>
      <w:jc w:val="center"/>
    </w:pPr>
    <w:rPr>
      <w:b/>
      <w:i/>
    </w:rPr>
  </w:style>
  <w:style w:type="paragraph" w:styleId="T" w:customStyle="1">
    <w:name w:val="T"/>
    <w:basedOn w:val="T1"/>
    <w:qFormat/>
    <w:rsid w:val="00084a92"/>
    <w:pPr/>
    <w:rPr>
      <w:sz w:val="28"/>
    </w:rPr>
  </w:style>
  <w:style w:type="paragraph" w:styleId="P2" w:customStyle="1">
    <w:name w:val="p2"/>
    <w:qFormat/>
    <w:rsid w:val="00084a92"/>
    <w:pPr>
      <w:widowControl/>
      <w:suppressAutoHyphens w:val="true"/>
      <w:bidi w:val="0"/>
      <w:spacing w:before="0" w:after="0"/>
      <w:ind w:left="567" w:hanging="0"/>
      <w:jc w:val="both"/>
    </w:pPr>
    <w:rPr>
      <w:rFonts w:ascii="Times New Roman" w:hAnsi="Times New Roman" w:eastAsia="Times New Roman" w:cs="Times New Roman"/>
      <w:color w:val="auto"/>
      <w:kern w:val="0"/>
      <w:sz w:val="24"/>
      <w:szCs w:val="20"/>
      <w:lang w:val="fr-FR" w:eastAsia="fr-FR" w:bidi="ar-SA"/>
    </w:rPr>
  </w:style>
  <w:style w:type="paragraph" w:styleId="P3" w:customStyle="1">
    <w:name w:val="p3"/>
    <w:basedOn w:val="Normal"/>
    <w:qFormat/>
    <w:rsid w:val="00084a92"/>
    <w:pPr/>
    <w:rPr/>
  </w:style>
  <w:style w:type="paragraph" w:styleId="Tabledesmatiresniveau1">
    <w:name w:val="TOC 1"/>
    <w:basedOn w:val="Normal"/>
    <w:next w:val="Normal"/>
    <w:uiPriority w:val="39"/>
    <w:rsid w:val="00084a92"/>
    <w:pPr>
      <w:tabs>
        <w:tab w:val="clear" w:pos="720"/>
        <w:tab w:val="right" w:pos="10489" w:leader="dot"/>
      </w:tabs>
      <w:spacing w:before="120" w:after="120"/>
      <w:jc w:val="left"/>
    </w:pPr>
    <w:rPr>
      <w:b/>
      <w:caps/>
      <w:sz w:val="20"/>
    </w:rPr>
  </w:style>
  <w:style w:type="paragraph" w:styleId="Tabledesmatiresniveau2">
    <w:name w:val="TOC 2"/>
    <w:basedOn w:val="Normal"/>
    <w:next w:val="Normal"/>
    <w:uiPriority w:val="39"/>
    <w:rsid w:val="00084a92"/>
    <w:pPr>
      <w:tabs>
        <w:tab w:val="clear" w:pos="720"/>
        <w:tab w:val="right" w:pos="10489" w:leader="dot"/>
      </w:tabs>
      <w:ind w:left="240" w:firstLine="113"/>
      <w:jc w:val="left"/>
    </w:pPr>
    <w:rPr>
      <w:smallCaps/>
      <w:sz w:val="20"/>
    </w:rPr>
  </w:style>
  <w:style w:type="paragraph" w:styleId="Tabledesmatiresniveau3">
    <w:name w:val="TOC 3"/>
    <w:basedOn w:val="Normal"/>
    <w:next w:val="Normal"/>
    <w:uiPriority w:val="39"/>
    <w:rsid w:val="00084a92"/>
    <w:pPr>
      <w:tabs>
        <w:tab w:val="clear" w:pos="720"/>
        <w:tab w:val="right" w:pos="10489" w:leader="dot"/>
      </w:tabs>
      <w:ind w:left="480" w:firstLine="113"/>
      <w:jc w:val="left"/>
    </w:pPr>
    <w:rPr>
      <w:i/>
      <w:sz w:val="20"/>
    </w:rPr>
  </w:style>
  <w:style w:type="paragraph" w:styleId="Tabledesmatiresniveau4">
    <w:name w:val="TOC 4"/>
    <w:basedOn w:val="Normal"/>
    <w:next w:val="Normal"/>
    <w:semiHidden/>
    <w:rsid w:val="00084a92"/>
    <w:pPr>
      <w:tabs>
        <w:tab w:val="clear" w:pos="720"/>
        <w:tab w:val="right" w:pos="10489" w:leader="dot"/>
      </w:tabs>
      <w:ind w:left="720" w:firstLine="113"/>
      <w:jc w:val="left"/>
    </w:pPr>
    <w:rPr>
      <w:sz w:val="18"/>
    </w:rPr>
  </w:style>
  <w:style w:type="paragraph" w:styleId="Tabledesmatiresniveau5">
    <w:name w:val="TOC 5"/>
    <w:basedOn w:val="Normal"/>
    <w:next w:val="Normal"/>
    <w:semiHidden/>
    <w:rsid w:val="00084a92"/>
    <w:pPr>
      <w:tabs>
        <w:tab w:val="clear" w:pos="720"/>
        <w:tab w:val="right" w:pos="10489" w:leader="dot"/>
      </w:tabs>
      <w:ind w:left="960" w:firstLine="113"/>
      <w:jc w:val="left"/>
    </w:pPr>
    <w:rPr>
      <w:sz w:val="18"/>
    </w:rPr>
  </w:style>
  <w:style w:type="paragraph" w:styleId="Tabledesmatiresniveau6">
    <w:name w:val="TOC 6"/>
    <w:basedOn w:val="Normal"/>
    <w:next w:val="Normal"/>
    <w:semiHidden/>
    <w:rsid w:val="00084a92"/>
    <w:pPr>
      <w:tabs>
        <w:tab w:val="clear" w:pos="720"/>
        <w:tab w:val="right" w:pos="10489" w:leader="dot"/>
      </w:tabs>
      <w:ind w:left="1200" w:firstLine="113"/>
      <w:jc w:val="left"/>
    </w:pPr>
    <w:rPr>
      <w:sz w:val="18"/>
    </w:rPr>
  </w:style>
  <w:style w:type="paragraph" w:styleId="Tabledesmatiresniveau7">
    <w:name w:val="TOC 7"/>
    <w:basedOn w:val="Normal"/>
    <w:next w:val="Normal"/>
    <w:semiHidden/>
    <w:rsid w:val="00084a92"/>
    <w:pPr>
      <w:tabs>
        <w:tab w:val="clear" w:pos="720"/>
        <w:tab w:val="right" w:pos="10489" w:leader="dot"/>
      </w:tabs>
      <w:ind w:left="1440" w:firstLine="113"/>
      <w:jc w:val="left"/>
    </w:pPr>
    <w:rPr>
      <w:sz w:val="18"/>
    </w:rPr>
  </w:style>
  <w:style w:type="paragraph" w:styleId="Tabledesmatiresniveau8">
    <w:name w:val="TOC 8"/>
    <w:basedOn w:val="Normal"/>
    <w:next w:val="Normal"/>
    <w:semiHidden/>
    <w:rsid w:val="00084a92"/>
    <w:pPr>
      <w:tabs>
        <w:tab w:val="clear" w:pos="720"/>
        <w:tab w:val="right" w:pos="10489" w:leader="dot"/>
      </w:tabs>
      <w:ind w:left="1680" w:firstLine="113"/>
      <w:jc w:val="left"/>
    </w:pPr>
    <w:rPr>
      <w:sz w:val="18"/>
    </w:rPr>
  </w:style>
  <w:style w:type="paragraph" w:styleId="Tabledesmatiresniveau9">
    <w:name w:val="TOC 9"/>
    <w:basedOn w:val="Normal"/>
    <w:next w:val="Normal"/>
    <w:semiHidden/>
    <w:rsid w:val="00084a92"/>
    <w:pPr>
      <w:tabs>
        <w:tab w:val="clear" w:pos="720"/>
        <w:tab w:val="right" w:pos="10489" w:leader="dot"/>
      </w:tabs>
      <w:ind w:left="1920" w:firstLine="113"/>
      <w:jc w:val="left"/>
    </w:pPr>
    <w:rPr>
      <w:sz w:val="18"/>
    </w:rPr>
  </w:style>
  <w:style w:type="paragraph" w:styleId="Corps" w:customStyle="1">
    <w:name w:val="Corps"/>
    <w:basedOn w:val="Normal"/>
    <w:qFormat/>
    <w:rsid w:val="00084a92"/>
    <w:pPr>
      <w:ind w:firstLine="284"/>
    </w:pPr>
    <w:rPr>
      <w:sz w:val="22"/>
    </w:rPr>
  </w:style>
  <w:style w:type="paragraph" w:styleId="Tiret" w:customStyle="1">
    <w:name w:val="tiret"/>
    <w:qFormat/>
    <w:rsid w:val="00084a92"/>
    <w:pPr>
      <w:widowControl/>
      <w:suppressAutoHyphens w:val="true"/>
      <w:bidi w:val="0"/>
      <w:spacing w:before="0" w:after="0"/>
      <w:ind w:left="284" w:hanging="0"/>
      <w:jc w:val="left"/>
    </w:pPr>
    <w:rPr>
      <w:rFonts w:ascii="Times New Roman" w:hAnsi="Times New Roman" w:eastAsia="Times New Roman" w:cs="Times New Roman"/>
      <w:color w:val="auto"/>
      <w:kern w:val="0"/>
      <w:sz w:val="22"/>
      <w:szCs w:val="20"/>
      <w:lang w:val="fr-FR" w:eastAsia="fr-FR" w:bidi="ar-SA"/>
    </w:rPr>
  </w:style>
  <w:style w:type="paragraph" w:styleId="DocumentMap">
    <w:name w:val="Document Map"/>
    <w:basedOn w:val="Normal"/>
    <w:semiHidden/>
    <w:qFormat/>
    <w:rsid w:val="00084a92"/>
    <w:pPr>
      <w:shd w:val="clear" w:color="auto" w:fill="000080"/>
    </w:pPr>
    <w:rPr>
      <w:rFonts w:ascii="Tahoma" w:hAnsi="Tahoma"/>
    </w:rPr>
  </w:style>
  <w:style w:type="paragraph" w:styleId="Retraitdecorpsdetexte">
    <w:name w:val="Body Text Indent"/>
    <w:basedOn w:val="Normal"/>
    <w:semiHidden/>
    <w:rsid w:val="00084a92"/>
    <w:pPr>
      <w:ind w:left="142" w:firstLine="113"/>
    </w:pPr>
    <w:rPr>
      <w:sz w:val="22"/>
    </w:rPr>
  </w:style>
  <w:style w:type="paragraph" w:styleId="Textepardfaut" w:customStyle="1">
    <w:name w:val="Texte par défaut"/>
    <w:basedOn w:val="Normal"/>
    <w:qFormat/>
    <w:rsid w:val="00084a92"/>
    <w:pPr>
      <w:ind w:hanging="0"/>
      <w:jc w:val="left"/>
    </w:pPr>
    <w:rPr>
      <w:lang w:val="en-US"/>
    </w:rPr>
  </w:style>
  <w:style w:type="paragraph" w:styleId="BodyText2">
    <w:name w:val="Body Text 2"/>
    <w:basedOn w:val="Normal"/>
    <w:semiHidden/>
    <w:qFormat/>
    <w:rsid w:val="00084a92"/>
    <w:pPr>
      <w:ind w:right="-142" w:hanging="0"/>
    </w:pPr>
    <w:rPr>
      <w:sz w:val="22"/>
    </w:rPr>
  </w:style>
  <w:style w:type="paragraph" w:styleId="ListParagraph">
    <w:name w:val="List Paragraph"/>
    <w:basedOn w:val="Normal"/>
    <w:uiPriority w:val="34"/>
    <w:qFormat/>
    <w:rsid w:val="00517d1c"/>
    <w:pPr>
      <w:spacing w:lineRule="auto" w:line="276" w:before="0" w:after="200"/>
      <w:ind w:left="720" w:hanging="0"/>
      <w:contextualSpacing/>
      <w:jc w:val="left"/>
    </w:pPr>
    <w:rPr>
      <w:rFonts w:ascii="Calibri" w:hAnsi="Calibri"/>
      <w:sz w:val="22"/>
      <w:szCs w:val="22"/>
    </w:rPr>
  </w:style>
  <w:style w:type="paragraph" w:styleId="Normal2" w:customStyle="1">
    <w:name w:val="Normal2"/>
    <w:basedOn w:val="Normal"/>
    <w:qFormat/>
    <w:rsid w:val="005867cd"/>
    <w:pPr>
      <w:keepLines/>
      <w:tabs>
        <w:tab w:val="clear" w:pos="720"/>
        <w:tab w:val="left" w:pos="567" w:leader="none"/>
        <w:tab w:val="left" w:pos="851" w:leader="none"/>
        <w:tab w:val="left" w:pos="1134" w:leader="none"/>
      </w:tabs>
      <w:ind w:left="284" w:firstLine="284"/>
    </w:pPr>
    <w:rPr>
      <w:sz w:val="22"/>
    </w:rPr>
  </w:style>
  <w:style w:type="paragraph" w:styleId="Annotationsubject">
    <w:name w:val="annotation subject"/>
    <w:basedOn w:val="Annotationtext"/>
    <w:link w:val="ObjetducommentaireCar"/>
    <w:uiPriority w:val="99"/>
    <w:semiHidden/>
    <w:unhideWhenUsed/>
    <w:qFormat/>
    <w:rsid w:val="006127bf"/>
    <w:pPr/>
    <w:rPr>
      <w:b/>
      <w:bCs/>
    </w:rPr>
  </w:style>
  <w:style w:type="paragraph" w:styleId="BalloonText">
    <w:name w:val="Balloon Text"/>
    <w:basedOn w:val="Normal"/>
    <w:link w:val="TextedebullesCar"/>
    <w:uiPriority w:val="99"/>
    <w:semiHidden/>
    <w:unhideWhenUsed/>
    <w:qFormat/>
    <w:rsid w:val="006127bf"/>
    <w:pPr/>
    <w:rPr>
      <w:rFonts w:ascii="Tahoma" w:hAnsi="Tahoma"/>
      <w:sz w:val="16"/>
      <w:szCs w:val="16"/>
    </w:rPr>
  </w:style>
  <w:style w:type="paragraph" w:styleId="NormalWeb">
    <w:name w:val="Normal (Web)"/>
    <w:basedOn w:val="Normal"/>
    <w:uiPriority w:val="99"/>
    <w:unhideWhenUsed/>
    <w:qFormat/>
    <w:rsid w:val="00bd2262"/>
    <w:pPr>
      <w:spacing w:beforeAutospacing="1" w:afterAutospacing="1"/>
      <w:ind w:hanging="0"/>
      <w:jc w:val="left"/>
    </w:pPr>
    <w:rPr>
      <w:szCs w:val="24"/>
    </w:rPr>
  </w:style>
  <w:style w:type="paragraph" w:styleId="Paragraphe" w:customStyle="1">
    <w:name w:val="Paragraphe"/>
    <w:basedOn w:val="Normal"/>
    <w:qFormat/>
    <w:rsid w:val="001705a9"/>
    <w:pPr>
      <w:spacing w:before="120" w:after="0"/>
      <w:ind w:hanging="0"/>
      <w:textAlignment w:val="baseline"/>
    </w:pPr>
    <w:rPr/>
  </w:style>
  <w:style w:type="paragraph" w:styleId="Normal3" w:customStyle="1">
    <w:name w:val="Normal3"/>
    <w:basedOn w:val="Normal"/>
    <w:qFormat/>
    <w:rsid w:val="001705a9"/>
    <w:pPr>
      <w:widowControl w:val="false"/>
      <w:tabs>
        <w:tab w:val="clear" w:pos="720"/>
        <w:tab w:val="left" w:pos="1276" w:leader="none"/>
      </w:tabs>
      <w:ind w:left="1276" w:hanging="0"/>
    </w:pPr>
    <w:rPr>
      <w:rFonts w:ascii="Arial" w:hAnsi="Arial"/>
      <w:sz w:val="22"/>
    </w:rPr>
  </w:style>
  <w:style w:type="paragraph" w:styleId="Contenudecadre" w:customStyle="1">
    <w:name w:val="Contenu de cadre"/>
    <w:basedOn w:val="Normal"/>
    <w:qFormat/>
    <w:pPr/>
    <w:rPr/>
  </w:style>
  <w:style w:type="paragraph" w:styleId="Default" w:customStyle="1">
    <w:name w:val="Default"/>
    <w:qFormat/>
    <w:pPr>
      <w:widowControl w:val="false"/>
      <w:suppressAutoHyphens w:val="true"/>
      <w:bidi w:val="0"/>
      <w:spacing w:before="0" w:after="0"/>
      <w:jc w:val="left"/>
    </w:pPr>
    <w:rPr>
      <w:rFonts w:ascii="Circular Pro Book" w:hAnsi="Circular Pro Book" w:eastAsia="Times New Roman" w:cs="Times New Roman"/>
      <w:color w:val="000000"/>
      <w:kern w:val="0"/>
      <w:sz w:val="24"/>
      <w:szCs w:val="20"/>
      <w:lang w:val="fr-FR" w:eastAsia="fr-FR" w:bidi="ar-SA"/>
    </w:rPr>
  </w:style>
  <w:style w:type="paragraph" w:styleId="Pa1" w:customStyle="1">
    <w:name w:val="Pa1"/>
    <w:basedOn w:val="Default"/>
    <w:qFormat/>
    <w:pPr>
      <w:spacing w:lineRule="atLeast" w:line="241"/>
    </w:pPr>
    <w:rPr/>
  </w:style>
  <w:style w:type="paragraph" w:styleId="Pa0" w:customStyle="1">
    <w:name w:val="Pa0"/>
    <w:basedOn w:val="Default"/>
    <w:qFormat/>
    <w:pPr>
      <w:spacing w:lineRule="atLeast" w:line="241"/>
    </w:pPr>
    <w:rPr/>
  </w:style>
  <w:style w:type="paragraph" w:styleId="Arial10G" w:customStyle="1">
    <w:name w:val="Arial10G"/>
    <w:basedOn w:val="Normal"/>
    <w:qFormat/>
    <w:pPr/>
    <w:rPr>
      <w:rFonts w:ascii="Arial" w:hAnsi="Arial" w:cs="Arial"/>
    </w:rPr>
  </w:style>
  <w:style w:type="paragraph" w:styleId="Western" w:customStyle="1">
    <w:name w:val="western"/>
    <w:basedOn w:val="Normal"/>
    <w:qFormat/>
    <w:rsid w:val="00c616c2"/>
    <w:pPr>
      <w:suppressAutoHyphens w:val="false"/>
      <w:spacing w:beforeAutospacing="1" w:after="119"/>
      <w:ind w:hanging="0"/>
      <w:jc w:val="left"/>
    </w:pPr>
    <w:rPr>
      <w:rFonts w:ascii="Calibri" w:hAnsi="Calibri" w:cs="Calibri"/>
      <w:color w:val="000000"/>
      <w:sz w:val="22"/>
      <w:szCs w:val="22"/>
      <w:lang w:val="fr-RE" w:eastAsia="fr-RE"/>
    </w:rPr>
  </w:style>
  <w:style w:type="paragraph" w:styleId="Contenudetableau" w:customStyle="1">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NoList" w:default="1">
    <w:name w:val="No List"/>
    <w:uiPriority w:val="99"/>
    <w:semiHidden/>
    <w:unhideWhenUsed/>
    <w:qFormat/>
  </w:style>
  <w:style w:type="numbering" w:styleId="WW8Num1" w:customStyle="1">
    <w:name w:val="WW8Num1"/>
    <w:qFormat/>
  </w:style>
  <w:style w:type="numbering" w:styleId="WW8Num3" w:customStyle="1">
    <w:name w:val="WW8Num3"/>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mairie-saintpaul.fr/"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9B6271-3542-4E98-AC5D-AA1AE8724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TotalTime>
  <Application>LibreOffice/7.4.7.2$Windows_X86_64 LibreOffice_project/723314e595e8007d3cf785c16538505a1c878ca5</Application>
  <AppVersion>15.0000</AppVersion>
  <Pages>7</Pages>
  <Words>2108</Words>
  <Characters>10820</Characters>
  <CharactersWithSpaces>12721</CharactersWithSpaces>
  <Paragraphs>198</Paragraphs>
  <Company>Mairie de Saint-Paul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2022-11-21T03:28:00Z</dcterms:created>
  <dc:creator>Cédric Carpy</dc:creator>
  <dc:description/>
  <dc:language>fr-RE</dc:language>
  <cp:lastModifiedBy/>
  <cp:lastPrinted>2023-10-24T15:03:03Z</cp:lastPrinted>
  <dcterms:modified xsi:type="dcterms:W3CDTF">2023-10-28T07:47:09Z</dcterms:modified>
  <cp:revision>76</cp:revision>
  <dc:subject>Devis et descriptif</dc:subject>
  <dc:title>Animation « Rentrée scolaire   Saint-Paul Centre-ville du 8 août au 15 aout 2020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